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7F2E" w14:textId="0DD5E154" w:rsidR="00BC780A" w:rsidRPr="00BF5D72" w:rsidRDefault="00BF5D72" w:rsidP="00BC780A">
      <w:pPr>
        <w:pStyle w:val="Pealkiri1"/>
        <w:shd w:val="clear" w:color="auto" w:fill="FFFFFF"/>
        <w:spacing w:before="0" w:beforeAutospacing="0" w:after="240" w:afterAutospacing="0"/>
        <w:ind w:left="5664"/>
        <w:jc w:val="center"/>
        <w:rPr>
          <w:b w:val="0"/>
          <w:bCs w:val="0"/>
          <w:color w:val="000000"/>
          <w:sz w:val="24"/>
          <w:szCs w:val="24"/>
        </w:rPr>
      </w:pPr>
      <w:r w:rsidRPr="00BF5D72">
        <w:rPr>
          <w:b w:val="0"/>
          <w:bCs w:val="0"/>
          <w:sz w:val="24"/>
          <w:szCs w:val="24"/>
        </w:rPr>
        <w:t>19.07.2023. a. määrus nr 48 „</w:t>
      </w:r>
      <w:r w:rsidRPr="00BF5D72">
        <w:rPr>
          <w:b w:val="0"/>
          <w:bCs w:val="0"/>
          <w:color w:val="000000"/>
          <w:sz w:val="24"/>
          <w:szCs w:val="24"/>
        </w:rPr>
        <w:t>Tööalase konkurentsivõime toetamine“</w:t>
      </w:r>
    </w:p>
    <w:tbl>
      <w:tblPr>
        <w:tblW w:w="9214" w:type="dxa"/>
        <w:tblCellMar>
          <w:left w:w="70" w:type="dxa"/>
          <w:right w:w="70" w:type="dxa"/>
        </w:tblCellMar>
        <w:tblLook w:val="04A0" w:firstRow="1" w:lastRow="0" w:firstColumn="1" w:lastColumn="0" w:noHBand="0" w:noVBand="1"/>
      </w:tblPr>
      <w:tblGrid>
        <w:gridCol w:w="6379"/>
        <w:gridCol w:w="1418"/>
        <w:gridCol w:w="1417"/>
      </w:tblGrid>
      <w:tr w:rsidR="00C74529" w:rsidRPr="00356C07" w14:paraId="726B1408" w14:textId="77777777" w:rsidTr="002937EB">
        <w:trPr>
          <w:trHeight w:val="300"/>
        </w:trPr>
        <w:tc>
          <w:tcPr>
            <w:tcW w:w="9214" w:type="dxa"/>
            <w:gridSpan w:val="3"/>
            <w:tcBorders>
              <w:top w:val="nil"/>
              <w:left w:val="nil"/>
              <w:bottom w:val="nil"/>
              <w:right w:val="nil"/>
            </w:tcBorders>
            <w:shd w:val="clear" w:color="auto" w:fill="auto"/>
            <w:noWrap/>
            <w:vAlign w:val="center"/>
            <w:hideMark/>
          </w:tcPr>
          <w:p w14:paraId="0208A4B7" w14:textId="77777777" w:rsidR="00C74529" w:rsidRDefault="00C74529" w:rsidP="00356C07">
            <w:pPr>
              <w:spacing w:after="0" w:line="240" w:lineRule="auto"/>
              <w:jc w:val="both"/>
              <w:rPr>
                <w:rFonts w:ascii="Arial" w:eastAsia="Times New Roman" w:hAnsi="Arial" w:cs="Arial"/>
                <w:b/>
                <w:bCs/>
                <w:color w:val="000000"/>
                <w:sz w:val="24"/>
                <w:szCs w:val="24"/>
                <w:lang w:eastAsia="et-EE"/>
              </w:rPr>
            </w:pPr>
          </w:p>
          <w:p w14:paraId="20A3AC2A" w14:textId="77777777" w:rsidR="00C74529" w:rsidRDefault="00C74529" w:rsidP="00356C07">
            <w:pPr>
              <w:spacing w:after="0" w:line="240" w:lineRule="auto"/>
              <w:jc w:val="both"/>
              <w:rPr>
                <w:rFonts w:ascii="Arial" w:eastAsia="Times New Roman" w:hAnsi="Arial" w:cs="Arial"/>
                <w:b/>
                <w:bCs/>
                <w:color w:val="000000"/>
                <w:sz w:val="24"/>
                <w:szCs w:val="24"/>
                <w:lang w:eastAsia="et-EE"/>
              </w:rPr>
            </w:pPr>
            <w:r w:rsidRPr="00BF5D72">
              <w:rPr>
                <w:rFonts w:ascii="Arial" w:eastAsia="Times New Roman" w:hAnsi="Arial" w:cs="Arial"/>
                <w:b/>
                <w:bCs/>
                <w:color w:val="000000"/>
                <w:sz w:val="24"/>
                <w:szCs w:val="24"/>
                <w:lang w:eastAsia="et-EE"/>
              </w:rPr>
              <w:t>Ekspertide hindamisjuhend</w:t>
            </w:r>
          </w:p>
          <w:p w14:paraId="42109D21" w14:textId="77777777" w:rsidR="00C74529" w:rsidRDefault="00C74529" w:rsidP="00356C07">
            <w:pPr>
              <w:spacing w:after="0" w:line="240" w:lineRule="auto"/>
              <w:jc w:val="both"/>
              <w:rPr>
                <w:rFonts w:ascii="Arial" w:eastAsia="Times New Roman" w:hAnsi="Arial" w:cs="Arial"/>
                <w:b/>
                <w:bCs/>
                <w:color w:val="000000"/>
                <w:sz w:val="24"/>
                <w:szCs w:val="24"/>
                <w:lang w:eastAsia="et-EE"/>
              </w:rPr>
            </w:pPr>
          </w:p>
          <w:p w14:paraId="10E9BFAD" w14:textId="77777777" w:rsidR="00C74529" w:rsidRPr="00356C07" w:rsidRDefault="00C74529" w:rsidP="00356C07">
            <w:pPr>
              <w:spacing w:after="0" w:line="240" w:lineRule="auto"/>
              <w:jc w:val="both"/>
              <w:rPr>
                <w:rFonts w:ascii="Arial" w:eastAsia="Times New Roman" w:hAnsi="Arial" w:cs="Arial"/>
                <w:sz w:val="20"/>
                <w:szCs w:val="20"/>
                <w:lang w:eastAsia="et-EE"/>
              </w:rPr>
            </w:pPr>
          </w:p>
        </w:tc>
      </w:tr>
      <w:tr w:rsidR="00BC780A" w:rsidRPr="00356C07" w14:paraId="06693A8E" w14:textId="77777777" w:rsidTr="00BC780A">
        <w:trPr>
          <w:trHeight w:val="45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00725" w14:textId="27BCDD23"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 xml:space="preserve">Hindamisleht </w:t>
            </w:r>
            <w:r>
              <w:rPr>
                <w:rStyle w:val="Allmrkuseviide"/>
                <w:rFonts w:ascii="Arial" w:eastAsia="Times New Roman" w:hAnsi="Arial" w:cs="Arial"/>
                <w:color w:val="538135" w:themeColor="accent6" w:themeShade="BF"/>
                <w:sz w:val="20"/>
                <w:szCs w:val="20"/>
                <w:lang w:eastAsia="et-EE"/>
              </w:rPr>
              <w:footnoteReference w:id="1"/>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EDF0B" w14:textId="77777777" w:rsidR="00BC780A" w:rsidRPr="00356C07" w:rsidRDefault="00BC780A" w:rsidP="00956192">
            <w:pPr>
              <w:spacing w:after="0" w:line="240" w:lineRule="auto"/>
              <w:jc w:val="center"/>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Maksimum-hinne</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FA993" w14:textId="77777777" w:rsidR="00BC780A" w:rsidRPr="00356C07" w:rsidRDefault="00BC780A" w:rsidP="00956192">
            <w:pPr>
              <w:spacing w:after="0" w:line="240" w:lineRule="auto"/>
              <w:jc w:val="center"/>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Hinne</w:t>
            </w:r>
          </w:p>
        </w:tc>
      </w:tr>
      <w:tr w:rsidR="00BC780A" w:rsidRPr="00356C07" w14:paraId="7A3AD600" w14:textId="77777777" w:rsidTr="00BC780A">
        <w:trPr>
          <w:trHeight w:val="450"/>
        </w:trPr>
        <w:tc>
          <w:tcPr>
            <w:tcW w:w="6379" w:type="dxa"/>
            <w:vMerge/>
            <w:tcBorders>
              <w:top w:val="single" w:sz="4" w:space="0" w:color="000000"/>
              <w:left w:val="single" w:sz="4" w:space="0" w:color="000000"/>
              <w:bottom w:val="single" w:sz="4" w:space="0" w:color="000000"/>
              <w:right w:val="single" w:sz="4" w:space="0" w:color="000000"/>
            </w:tcBorders>
            <w:vAlign w:val="center"/>
            <w:hideMark/>
          </w:tcPr>
          <w:p w14:paraId="0DF81E60"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14:paraId="02B1F29D"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14:paraId="7FB52B2D"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p>
        </w:tc>
      </w:tr>
      <w:tr w:rsidR="00BC780A" w:rsidRPr="00356C07" w14:paraId="61ABB353" w14:textId="77777777" w:rsidTr="00BC780A">
        <w:trPr>
          <w:trHeight w:val="300"/>
        </w:trPr>
        <w:tc>
          <w:tcPr>
            <w:tcW w:w="6379" w:type="dxa"/>
            <w:tcBorders>
              <w:top w:val="nil"/>
              <w:left w:val="single" w:sz="4" w:space="0" w:color="000000"/>
              <w:bottom w:val="nil"/>
              <w:right w:val="single" w:sz="4" w:space="0" w:color="auto"/>
            </w:tcBorders>
            <w:shd w:val="clear" w:color="auto" w:fill="auto"/>
            <w:vAlign w:val="center"/>
            <w:hideMark/>
          </w:tcPr>
          <w:p w14:paraId="3E30A481" w14:textId="5226D6E0" w:rsidR="00BC780A" w:rsidRPr="00356C07" w:rsidRDefault="00EC45D1" w:rsidP="00356C07">
            <w:pPr>
              <w:spacing w:after="0" w:line="240" w:lineRule="auto"/>
              <w:jc w:val="both"/>
              <w:rPr>
                <w:rFonts w:ascii="Arial" w:eastAsia="Times New Roman" w:hAnsi="Arial" w:cs="Arial"/>
                <w:b/>
                <w:bCs/>
                <w:color w:val="000000"/>
                <w:sz w:val="20"/>
                <w:szCs w:val="20"/>
                <w:lang w:eastAsia="et-EE"/>
              </w:rPr>
            </w:pPr>
            <w:r>
              <w:rPr>
                <w:rFonts w:ascii="Times New Roman" w:eastAsia="Times New Roman" w:hAnsi="Times New Roman" w:cs="Times New Roman"/>
                <w:sz w:val="24"/>
              </w:rPr>
              <w:t xml:space="preserve">1. </w:t>
            </w:r>
            <w:r w:rsidRPr="00522475">
              <w:rPr>
                <w:rFonts w:ascii="Arial" w:eastAsia="Times New Roman" w:hAnsi="Arial" w:cs="Arial"/>
                <w:b/>
                <w:bCs/>
                <w:sz w:val="20"/>
                <w:szCs w:val="20"/>
              </w:rPr>
              <w:t>Projekti kooskõla valdkondlike arengukavadega, mõju rakenduskava erieesmärgi ja meetme eesmärkide saavutamisele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3AEEB" w14:textId="7B3EF3AB" w:rsidR="00BC780A" w:rsidRPr="00356C07" w:rsidRDefault="00BC780A" w:rsidP="00356C07">
            <w:pPr>
              <w:spacing w:after="0" w:line="240" w:lineRule="auto"/>
              <w:jc w:val="center"/>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6734" w14:textId="5019B19B" w:rsidR="00BC780A" w:rsidRPr="00165FE2" w:rsidRDefault="00BC780A" w:rsidP="00356C07">
            <w:pPr>
              <w:spacing w:after="0" w:line="240" w:lineRule="auto"/>
              <w:jc w:val="both"/>
              <w:rPr>
                <w:rFonts w:ascii="Arial" w:eastAsia="Times New Roman" w:hAnsi="Arial" w:cs="Arial"/>
                <w:b/>
                <w:bCs/>
                <w:color w:val="000000"/>
                <w:sz w:val="20"/>
                <w:szCs w:val="20"/>
                <w:lang w:eastAsia="et-EE"/>
              </w:rPr>
            </w:pPr>
          </w:p>
        </w:tc>
      </w:tr>
      <w:tr w:rsidR="00C74529" w:rsidRPr="00356C07" w14:paraId="5C024C0C" w14:textId="77777777" w:rsidTr="007764D9">
        <w:trPr>
          <w:trHeight w:val="7010"/>
        </w:trPr>
        <w:tc>
          <w:tcPr>
            <w:tcW w:w="6379" w:type="dxa"/>
            <w:tcBorders>
              <w:top w:val="single" w:sz="4" w:space="0" w:color="000000"/>
              <w:left w:val="single" w:sz="4" w:space="0" w:color="000000"/>
              <w:right w:val="single" w:sz="4" w:space="0" w:color="000000"/>
            </w:tcBorders>
            <w:shd w:val="clear" w:color="auto" w:fill="auto"/>
            <w:vAlign w:val="center"/>
            <w:hideMark/>
          </w:tcPr>
          <w:p w14:paraId="4B912128" w14:textId="4778DE5E" w:rsidR="00C74529" w:rsidRPr="00356C07" w:rsidRDefault="00C74529"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1.1. Projekti panus meetme eesmärkide saavutamisse</w:t>
            </w:r>
            <w:r>
              <w:rPr>
                <w:rFonts w:ascii="Arial" w:eastAsia="Times New Roman" w:hAnsi="Arial" w:cs="Arial"/>
                <w:color w:val="000000"/>
                <w:sz w:val="20"/>
                <w:szCs w:val="20"/>
                <w:lang w:eastAsia="et-EE"/>
              </w:rPr>
              <w:t>.</w:t>
            </w:r>
          </w:p>
          <w:p w14:paraId="1B288EBA" w14:textId="77777777" w:rsidR="00C74529" w:rsidRPr="00522475" w:rsidRDefault="00C74529" w:rsidP="00356C07">
            <w:pPr>
              <w:spacing w:after="0" w:line="240" w:lineRule="auto"/>
              <w:jc w:val="both"/>
              <w:rPr>
                <w:rFonts w:ascii="Arial" w:eastAsia="Times New Roman" w:hAnsi="Arial" w:cs="Arial"/>
                <w:i/>
                <w:iCs/>
                <w:sz w:val="20"/>
                <w:szCs w:val="20"/>
                <w:lang w:eastAsia="et-EE"/>
              </w:rPr>
            </w:pPr>
            <w:r w:rsidRPr="00522475">
              <w:rPr>
                <w:rFonts w:ascii="Arial" w:eastAsia="Times New Roman" w:hAnsi="Arial" w:cs="Arial"/>
                <w:i/>
                <w:iCs/>
                <w:sz w:val="20"/>
                <w:szCs w:val="20"/>
                <w:lang w:eastAsia="et-EE"/>
              </w:rPr>
              <w:t>(e-toetuse taotlusvormi sisu alajaotuse andmeväljad  „projekti eesmärk ja tulemused“)</w:t>
            </w:r>
          </w:p>
          <w:p w14:paraId="7DF83ED9"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378FFD66" w14:textId="77777777" w:rsidR="00C74529" w:rsidRPr="00BC780A" w:rsidRDefault="00C74529" w:rsidP="00F4559F">
            <w:pPr>
              <w:spacing w:after="0" w:line="240" w:lineRule="auto"/>
              <w:jc w:val="both"/>
              <w:rPr>
                <w:rFonts w:ascii="Arial" w:eastAsia="Times New Roman" w:hAnsi="Arial" w:cs="Arial"/>
                <w:b/>
                <w:bCs/>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 xml:space="preserve">Oluline hinnata projekti sisu vastavust määruse „Tööalase konkurentsivõime toetamine“, ning vastavust rakenduskava poliitikaeesmärgi 2.1.6 „Sotsiaalsem Eesti“ eesmärgile. </w:t>
            </w:r>
          </w:p>
          <w:p w14:paraId="29F9018E"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50BD73B6"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Hindeid antakse vahemikus 4-0 – hinnete astmed (4,2,0).</w:t>
            </w:r>
          </w:p>
          <w:p w14:paraId="0F0CDFC4"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7BF12316"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4 punkti</w:t>
            </w:r>
          </w:p>
          <w:p w14:paraId="6CDC0EBB" w14:textId="77777777" w:rsidR="00C74529" w:rsidRPr="00BC780A" w:rsidRDefault="00C74529" w:rsidP="00356C07">
            <w:pPr>
              <w:pStyle w:val="Loendilik"/>
              <w:numPr>
                <w:ilvl w:val="0"/>
                <w:numId w:val="13"/>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eesmärgid on vastavuses määruse ja meetme eesmärkidega</w:t>
            </w:r>
            <w:r>
              <w:rPr>
                <w:rFonts w:ascii="Arial" w:eastAsia="Times New Roman" w:hAnsi="Arial" w:cs="Arial"/>
                <w:color w:val="538135" w:themeColor="accent6" w:themeShade="BF"/>
                <w:sz w:val="20"/>
                <w:szCs w:val="20"/>
                <w:lang w:eastAsia="et-EE"/>
              </w:rPr>
              <w:t>.</w:t>
            </w:r>
          </w:p>
          <w:p w14:paraId="512E12FE" w14:textId="77777777" w:rsidR="00C74529" w:rsidRPr="00BC780A" w:rsidRDefault="00C74529" w:rsidP="00356C07">
            <w:pPr>
              <w:pStyle w:val="Loendilik"/>
              <w:numPr>
                <w:ilvl w:val="0"/>
                <w:numId w:val="13"/>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Planeeritud tegevused panustavad määruse „Tööalase konkurentsivõime toetamine“, ning meetme 2.1.6 „Sotsiaalsem Eesti“ eesmärgi näitajatesse</w:t>
            </w:r>
            <w:r>
              <w:rPr>
                <w:rFonts w:ascii="Arial" w:eastAsia="Times New Roman" w:hAnsi="Arial" w:cs="Arial"/>
                <w:color w:val="538135" w:themeColor="accent6" w:themeShade="BF"/>
                <w:sz w:val="20"/>
                <w:szCs w:val="20"/>
                <w:lang w:eastAsia="et-EE"/>
              </w:rPr>
              <w:t>.</w:t>
            </w:r>
          </w:p>
          <w:p w14:paraId="6F9B8C3D"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3D5FE491"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 xml:space="preserve">2 punkti </w:t>
            </w:r>
          </w:p>
          <w:p w14:paraId="22D05170" w14:textId="77777777" w:rsidR="00C74529" w:rsidRPr="00BC780A" w:rsidRDefault="00C74529" w:rsidP="00356C07">
            <w:pPr>
              <w:pStyle w:val="Loendilik"/>
              <w:numPr>
                <w:ilvl w:val="0"/>
                <w:numId w:val="13"/>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eesmärgid on valdavalt vastavuses määruse ja meetme eesmärkidega</w:t>
            </w:r>
            <w:r>
              <w:rPr>
                <w:rFonts w:ascii="Arial" w:eastAsia="Times New Roman" w:hAnsi="Arial" w:cs="Arial"/>
                <w:color w:val="538135" w:themeColor="accent6" w:themeShade="BF"/>
                <w:sz w:val="20"/>
                <w:szCs w:val="20"/>
                <w:lang w:eastAsia="et-EE"/>
              </w:rPr>
              <w:t>.</w:t>
            </w:r>
          </w:p>
          <w:p w14:paraId="2CD10975" w14:textId="77777777" w:rsidR="00C74529" w:rsidRPr="00BC780A" w:rsidRDefault="00C74529" w:rsidP="00356C07">
            <w:pPr>
              <w:pStyle w:val="Loendilik"/>
              <w:numPr>
                <w:ilvl w:val="0"/>
                <w:numId w:val="13"/>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Planeeritud tegevused panustavad osaliselt määruse „Tööalase konkurentsivõime toetamine“, ning meetme 2.1.6 „Sotsiaalsem Eesti“ eesmärgi näitajatesse</w:t>
            </w:r>
            <w:r>
              <w:rPr>
                <w:rFonts w:ascii="Arial" w:eastAsia="Times New Roman" w:hAnsi="Arial" w:cs="Arial"/>
                <w:color w:val="538135" w:themeColor="accent6" w:themeShade="BF"/>
                <w:sz w:val="20"/>
                <w:szCs w:val="20"/>
                <w:lang w:eastAsia="et-EE"/>
              </w:rPr>
              <w:t>.</w:t>
            </w:r>
          </w:p>
          <w:p w14:paraId="6A64AA30"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32E1E7BA"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 xml:space="preserve">0 punkti </w:t>
            </w:r>
          </w:p>
          <w:p w14:paraId="1F83A0D1" w14:textId="77777777" w:rsidR="00C74529" w:rsidRPr="00BC780A" w:rsidRDefault="00C74529" w:rsidP="00356C07">
            <w:pPr>
              <w:pStyle w:val="Loendilik"/>
              <w:numPr>
                <w:ilvl w:val="0"/>
                <w:numId w:val="13"/>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eesmärkide vastavus määruse ja meetme eesmärkidega on ebaselge</w:t>
            </w:r>
            <w:r>
              <w:rPr>
                <w:rFonts w:ascii="Arial" w:eastAsia="Times New Roman" w:hAnsi="Arial" w:cs="Arial"/>
                <w:color w:val="538135" w:themeColor="accent6" w:themeShade="BF"/>
                <w:sz w:val="20"/>
                <w:szCs w:val="20"/>
                <w:lang w:eastAsia="et-EE"/>
              </w:rPr>
              <w:t>.</w:t>
            </w:r>
          </w:p>
          <w:p w14:paraId="130B6A2C" w14:textId="17BD2807" w:rsidR="00C74529" w:rsidRPr="00356C07" w:rsidRDefault="00C74529" w:rsidP="00356C07">
            <w:pPr>
              <w:pStyle w:val="Loendilik"/>
              <w:numPr>
                <w:ilvl w:val="0"/>
                <w:numId w:val="13"/>
              </w:numPr>
              <w:spacing w:after="0" w:line="240" w:lineRule="auto"/>
              <w:jc w:val="both"/>
              <w:rPr>
                <w:rFonts w:ascii="Arial" w:eastAsia="Times New Roman" w:hAnsi="Arial" w:cs="Arial"/>
                <w:color w:val="000000"/>
                <w:sz w:val="20"/>
                <w:szCs w:val="20"/>
                <w:lang w:eastAsia="et-EE"/>
              </w:rPr>
            </w:pPr>
            <w:r w:rsidRPr="00BC780A">
              <w:rPr>
                <w:rFonts w:ascii="Arial" w:eastAsia="Times New Roman" w:hAnsi="Arial" w:cs="Arial"/>
                <w:color w:val="538135" w:themeColor="accent6" w:themeShade="BF"/>
                <w:sz w:val="20"/>
                <w:szCs w:val="20"/>
                <w:lang w:eastAsia="et-EE"/>
              </w:rPr>
              <w:t>Planeeritud tegevused ei panusta määruse „Tööalase konkurentsivõime toetamine“, ning meetme 2.1.6 „Sotsiaalsem Eesti“ eesmärgi näitajatesse võimalik hinnata.</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37F4C67E" w14:textId="0CDC592D" w:rsidR="00C74529" w:rsidRPr="00356C07" w:rsidRDefault="00C74529" w:rsidP="00356C07">
            <w:pPr>
              <w:spacing w:after="0" w:line="240" w:lineRule="auto"/>
              <w:jc w:val="center"/>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4</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446FA591" w14:textId="04BF686B" w:rsidR="00C74529" w:rsidRPr="00356C07" w:rsidRDefault="00C74529" w:rsidP="00356C07">
            <w:pPr>
              <w:spacing w:after="0" w:line="240" w:lineRule="auto"/>
              <w:jc w:val="both"/>
              <w:rPr>
                <w:rFonts w:ascii="Arial" w:eastAsia="Times New Roman" w:hAnsi="Arial" w:cs="Arial"/>
                <w:color w:val="000000"/>
                <w:sz w:val="20"/>
                <w:szCs w:val="20"/>
                <w:lang w:eastAsia="et-EE"/>
              </w:rPr>
            </w:pPr>
          </w:p>
        </w:tc>
      </w:tr>
      <w:tr w:rsidR="00BC780A" w:rsidRPr="00356C07" w14:paraId="703F3A46"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7BB21"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Selgitus punkti 1.1 hinnangute kohta:</w:t>
            </w:r>
          </w:p>
        </w:tc>
      </w:tr>
      <w:tr w:rsidR="00BC780A" w:rsidRPr="00356C07" w14:paraId="00CA9778" w14:textId="77777777" w:rsidTr="00BC780A">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44AB8032"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C74529" w:rsidRPr="00356C07" w14:paraId="545A79CD" w14:textId="77777777" w:rsidTr="009B5D8F">
        <w:trPr>
          <w:trHeight w:val="8404"/>
        </w:trPr>
        <w:tc>
          <w:tcPr>
            <w:tcW w:w="6379" w:type="dxa"/>
            <w:tcBorders>
              <w:top w:val="nil"/>
              <w:left w:val="single" w:sz="4" w:space="0" w:color="000000"/>
              <w:right w:val="single" w:sz="4" w:space="0" w:color="auto"/>
            </w:tcBorders>
            <w:shd w:val="clear" w:color="auto" w:fill="auto"/>
            <w:vAlign w:val="center"/>
            <w:hideMark/>
          </w:tcPr>
          <w:p w14:paraId="1F510B23" w14:textId="2E58EAF0" w:rsidR="00C74529" w:rsidRPr="00BC780A" w:rsidRDefault="00C74529" w:rsidP="00356C07">
            <w:pPr>
              <w:spacing w:after="0" w:line="240" w:lineRule="auto"/>
              <w:jc w:val="both"/>
              <w:rPr>
                <w:rFonts w:ascii="Arial" w:eastAsia="Times New Roman" w:hAnsi="Arial" w:cs="Arial"/>
                <w:sz w:val="20"/>
                <w:szCs w:val="20"/>
                <w:lang w:eastAsia="et-EE"/>
              </w:rPr>
            </w:pPr>
            <w:r w:rsidRPr="00BC780A">
              <w:rPr>
                <w:rFonts w:ascii="Arial" w:eastAsia="Times New Roman" w:hAnsi="Arial" w:cs="Arial"/>
                <w:sz w:val="20"/>
                <w:szCs w:val="20"/>
                <w:lang w:eastAsia="et-EE"/>
              </w:rPr>
              <w:lastRenderedPageBreak/>
              <w:t>1.2. Projekti panus meetme tulemusnäitaja saavutamisse</w:t>
            </w:r>
            <w:r>
              <w:rPr>
                <w:rFonts w:ascii="Arial" w:eastAsia="Times New Roman" w:hAnsi="Arial" w:cs="Arial"/>
                <w:sz w:val="20"/>
                <w:szCs w:val="20"/>
                <w:lang w:eastAsia="et-EE"/>
              </w:rPr>
              <w:t>.</w:t>
            </w:r>
          </w:p>
          <w:p w14:paraId="7DB724B4" w14:textId="77777777" w:rsidR="00C74529" w:rsidRPr="00522475" w:rsidRDefault="00C74529" w:rsidP="00356C07">
            <w:pPr>
              <w:spacing w:after="0" w:line="240" w:lineRule="auto"/>
              <w:jc w:val="both"/>
              <w:rPr>
                <w:rFonts w:ascii="Arial" w:eastAsia="Times New Roman" w:hAnsi="Arial" w:cs="Arial"/>
                <w:i/>
                <w:iCs/>
                <w:sz w:val="20"/>
                <w:szCs w:val="20"/>
                <w:lang w:eastAsia="et-EE"/>
              </w:rPr>
            </w:pPr>
            <w:r w:rsidRPr="00522475">
              <w:rPr>
                <w:rFonts w:ascii="Arial" w:eastAsia="Times New Roman" w:hAnsi="Arial" w:cs="Arial"/>
                <w:i/>
                <w:iCs/>
                <w:sz w:val="20"/>
                <w:szCs w:val="20"/>
                <w:lang w:eastAsia="et-EE"/>
              </w:rPr>
              <w:t>(e-toetuse taotlusvormi sisu alajaotuse andmeväljad „projekti eesmärk ja tulemused“, „näitajad“ ning „projekti tulemuste jätkusuutlikkus“)</w:t>
            </w:r>
          </w:p>
          <w:p w14:paraId="760800B4"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2C0FE836"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Hinnatakse projekti kavandatud panust „Ühtekuuluvuspoliitika fondide rakenduskava 2021–2027“ tulemusnäitaja sihttaseme täitmisesse:  „Osalejad, kelle olukord tööturul on kuue kuu jooksul pärast programmist lahkumist paranenud“.</w:t>
            </w:r>
          </w:p>
          <w:p w14:paraId="794C2BF7"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Hindeid antakse vahemikus 2-0 – hinnete astmed (2,1,0).</w:t>
            </w:r>
          </w:p>
          <w:p w14:paraId="7A3FA674"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76E19691"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 xml:space="preserve">2 punkti </w:t>
            </w:r>
          </w:p>
          <w:p w14:paraId="475A1E34" w14:textId="77777777" w:rsidR="00C74529" w:rsidRPr="00BC780A" w:rsidRDefault="00C74529" w:rsidP="002E5974">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järgselt on kavandatud tööle rakenduma üle 40% sihtgrupist</w:t>
            </w:r>
            <w:r>
              <w:rPr>
                <w:rFonts w:ascii="Arial" w:eastAsia="Times New Roman" w:hAnsi="Arial" w:cs="Arial"/>
                <w:color w:val="538135" w:themeColor="accent6" w:themeShade="BF"/>
                <w:sz w:val="20"/>
                <w:szCs w:val="20"/>
                <w:lang w:eastAsia="et-EE"/>
              </w:rPr>
              <w:t>.</w:t>
            </w:r>
          </w:p>
          <w:p w14:paraId="67458F86" w14:textId="77777777" w:rsidR="00C74529" w:rsidRPr="00BC780A" w:rsidRDefault="00C74529" w:rsidP="002E5974">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seatud eesmärk ja kavandatud tulemused panustavad projektiga saavutatud tulemuste jätkusuutlikkusesse toetades projektis osaleja pikaajalist toimetulekut tööturul, st kavandatud tegevustel on pikaajaline mõju</w:t>
            </w:r>
            <w:r>
              <w:rPr>
                <w:rFonts w:ascii="Arial" w:eastAsia="Times New Roman" w:hAnsi="Arial" w:cs="Arial"/>
                <w:color w:val="538135" w:themeColor="accent6" w:themeShade="BF"/>
                <w:sz w:val="20"/>
                <w:szCs w:val="20"/>
                <w:lang w:eastAsia="et-EE"/>
              </w:rPr>
              <w:t>.</w:t>
            </w:r>
          </w:p>
          <w:p w14:paraId="729FF153" w14:textId="77777777" w:rsidR="00C74529" w:rsidRPr="00BC780A" w:rsidRDefault="00C74529" w:rsidP="008E54FC">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prognoositav panus „Ühtekuuluvuspoliitika fondide rakenduskava 2021–2027“ tulemusnäitaja sihttaseme täitmisesse on selge</w:t>
            </w:r>
            <w:r>
              <w:rPr>
                <w:rFonts w:ascii="Arial" w:eastAsia="Times New Roman" w:hAnsi="Arial" w:cs="Arial"/>
                <w:color w:val="538135" w:themeColor="accent6" w:themeShade="BF"/>
                <w:sz w:val="20"/>
                <w:szCs w:val="20"/>
                <w:lang w:eastAsia="et-EE"/>
              </w:rPr>
              <w:t>.</w:t>
            </w:r>
          </w:p>
          <w:p w14:paraId="7CFA01B2"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1E20164F"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 xml:space="preserve">1 punkt </w:t>
            </w:r>
          </w:p>
          <w:p w14:paraId="500485ED" w14:textId="77777777" w:rsidR="00C74529" w:rsidRPr="00BC780A" w:rsidRDefault="00C74529" w:rsidP="002E5974">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seatud eesmärgi ja kavandatud tegevuste tulemusel on  projektis osaleja ajutiselt tööturul paremas positsioonis</w:t>
            </w:r>
            <w:r>
              <w:rPr>
                <w:rFonts w:ascii="Arial" w:eastAsia="Times New Roman" w:hAnsi="Arial" w:cs="Arial"/>
                <w:color w:val="538135" w:themeColor="accent6" w:themeShade="BF"/>
                <w:sz w:val="20"/>
                <w:szCs w:val="20"/>
                <w:lang w:eastAsia="et-EE"/>
              </w:rPr>
              <w:t>.</w:t>
            </w:r>
          </w:p>
          <w:p w14:paraId="5892BBE6" w14:textId="77777777" w:rsidR="00C74529" w:rsidRPr="00BC780A" w:rsidRDefault="00C74529" w:rsidP="002E5974">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prognoositav panus „Ühtekuuluvuspoliitika fondide rakenduskava 2021–2027“ tulemusnäitaja sihttaseme täitmisesse on ebaselge</w:t>
            </w:r>
            <w:r>
              <w:rPr>
                <w:rFonts w:ascii="Arial" w:eastAsia="Times New Roman" w:hAnsi="Arial" w:cs="Arial"/>
                <w:color w:val="538135" w:themeColor="accent6" w:themeShade="BF"/>
                <w:sz w:val="20"/>
                <w:szCs w:val="20"/>
                <w:lang w:eastAsia="et-EE"/>
              </w:rPr>
              <w:t>.</w:t>
            </w:r>
          </w:p>
          <w:p w14:paraId="103F487D"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66CCA665"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 xml:space="preserve">0 punkti </w:t>
            </w:r>
          </w:p>
          <w:p w14:paraId="5418595E" w14:textId="77777777" w:rsidR="00C74529" w:rsidRPr="00BC780A" w:rsidRDefault="00C74529" w:rsidP="00356C07">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seatud eesmärk ja kavandatud tulemused ei paranda projektis osaleja iseseisev toimetulekut tööturul, st tegevuste tulemused ei taga pikaajalist mõju</w:t>
            </w:r>
            <w:r>
              <w:rPr>
                <w:rFonts w:ascii="Arial" w:eastAsia="Times New Roman" w:hAnsi="Arial" w:cs="Arial"/>
                <w:color w:val="538135" w:themeColor="accent6" w:themeShade="BF"/>
                <w:sz w:val="20"/>
                <w:szCs w:val="20"/>
                <w:lang w:eastAsia="et-EE"/>
              </w:rPr>
              <w:t>.</w:t>
            </w:r>
          </w:p>
          <w:p w14:paraId="772179E2" w14:textId="45293B79" w:rsidR="00C74529" w:rsidRPr="00BC780A" w:rsidRDefault="00C74529" w:rsidP="00356C07">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järgne prognoositud rakendumise osakaal ei ole realistlik, rakendumis toetavad sekkumised ei ole sihtrühma vajadustega kooskõlas.</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A4DD924" w14:textId="7C55D62E" w:rsidR="00C74529" w:rsidRPr="00356C07" w:rsidRDefault="00C74529" w:rsidP="00356C07">
            <w:pPr>
              <w:spacing w:after="0" w:line="240" w:lineRule="auto"/>
              <w:jc w:val="center"/>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2</w:t>
            </w:r>
          </w:p>
        </w:tc>
        <w:tc>
          <w:tcPr>
            <w:tcW w:w="1417"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7902573" w14:textId="569292E1" w:rsidR="00C74529" w:rsidRPr="00356C07" w:rsidRDefault="00C74529" w:rsidP="00356C07">
            <w:pPr>
              <w:spacing w:after="0" w:line="240" w:lineRule="auto"/>
              <w:jc w:val="both"/>
              <w:rPr>
                <w:rFonts w:ascii="Arial" w:eastAsia="Times New Roman" w:hAnsi="Arial" w:cs="Arial"/>
                <w:color w:val="000000"/>
                <w:sz w:val="20"/>
                <w:szCs w:val="20"/>
                <w:lang w:eastAsia="et-EE"/>
              </w:rPr>
            </w:pPr>
          </w:p>
        </w:tc>
      </w:tr>
      <w:tr w:rsidR="00BC780A" w:rsidRPr="00356C07" w14:paraId="016962E6"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CA0CD"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Selgitus punkti 1.2 hinnangute kohta:</w:t>
            </w:r>
          </w:p>
        </w:tc>
      </w:tr>
      <w:tr w:rsidR="00BC780A" w:rsidRPr="00356C07" w14:paraId="1E52DB2F" w14:textId="77777777" w:rsidTr="00BC780A">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4303C555"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23341795" w14:textId="77777777" w:rsidTr="00BC780A">
        <w:trPr>
          <w:trHeight w:val="450"/>
        </w:trPr>
        <w:tc>
          <w:tcPr>
            <w:tcW w:w="63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AF61C8"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2. Projekti põhjendatus</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471FFB" w14:textId="1C3B4C9E" w:rsidR="00BC780A" w:rsidRPr="00356C07" w:rsidRDefault="00BC780A" w:rsidP="00356C07">
            <w:pPr>
              <w:spacing w:after="0" w:line="240" w:lineRule="auto"/>
              <w:jc w:val="center"/>
              <w:rPr>
                <w:rFonts w:ascii="Arial" w:eastAsia="Times New Roman" w:hAnsi="Arial" w:cs="Arial"/>
                <w:b/>
                <w:bCs/>
                <w:color w:val="000000"/>
                <w:sz w:val="20"/>
                <w:szCs w:val="20"/>
                <w:lang w:eastAsia="et-EE"/>
              </w:rPr>
            </w:pPr>
            <w:r>
              <w:rPr>
                <w:rFonts w:ascii="Arial" w:eastAsia="Times New Roman" w:hAnsi="Arial" w:cs="Arial"/>
                <w:b/>
                <w:bCs/>
                <w:color w:val="000000"/>
                <w:sz w:val="20"/>
                <w:szCs w:val="20"/>
                <w:lang w:eastAsia="et-EE"/>
              </w:rPr>
              <w:t>11</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A2B06F" w14:textId="3E1593EF" w:rsidR="00BC780A" w:rsidRPr="00165FE2" w:rsidRDefault="00BC780A" w:rsidP="00356C07">
            <w:pPr>
              <w:spacing w:after="0" w:line="240" w:lineRule="auto"/>
              <w:jc w:val="both"/>
              <w:rPr>
                <w:rFonts w:ascii="Arial" w:eastAsia="Times New Roman" w:hAnsi="Arial" w:cs="Arial"/>
                <w:b/>
                <w:bCs/>
                <w:color w:val="000000"/>
                <w:sz w:val="20"/>
                <w:szCs w:val="20"/>
                <w:lang w:eastAsia="et-EE"/>
              </w:rPr>
            </w:pPr>
          </w:p>
        </w:tc>
      </w:tr>
      <w:tr w:rsidR="00BC780A" w:rsidRPr="00356C07" w14:paraId="10E0937C" w14:textId="77777777" w:rsidTr="00807BEB">
        <w:trPr>
          <w:trHeight w:val="450"/>
        </w:trPr>
        <w:tc>
          <w:tcPr>
            <w:tcW w:w="6379" w:type="dxa"/>
            <w:vMerge/>
            <w:tcBorders>
              <w:top w:val="nil"/>
              <w:left w:val="single" w:sz="4" w:space="0" w:color="000000"/>
              <w:bottom w:val="single" w:sz="4" w:space="0" w:color="000000"/>
              <w:right w:val="single" w:sz="4" w:space="0" w:color="000000"/>
            </w:tcBorders>
            <w:vAlign w:val="center"/>
            <w:hideMark/>
          </w:tcPr>
          <w:p w14:paraId="207973C4"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p>
        </w:tc>
        <w:tc>
          <w:tcPr>
            <w:tcW w:w="1418" w:type="dxa"/>
            <w:vMerge/>
            <w:tcBorders>
              <w:top w:val="nil"/>
              <w:left w:val="single" w:sz="4" w:space="0" w:color="000000"/>
              <w:bottom w:val="single" w:sz="4" w:space="0" w:color="auto"/>
              <w:right w:val="single" w:sz="4" w:space="0" w:color="000000"/>
            </w:tcBorders>
            <w:vAlign w:val="center"/>
            <w:hideMark/>
          </w:tcPr>
          <w:p w14:paraId="6E5AE85D"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p>
        </w:tc>
        <w:tc>
          <w:tcPr>
            <w:tcW w:w="1417" w:type="dxa"/>
            <w:vMerge/>
            <w:tcBorders>
              <w:top w:val="nil"/>
              <w:left w:val="single" w:sz="4" w:space="0" w:color="000000"/>
              <w:bottom w:val="single" w:sz="4" w:space="0" w:color="000000"/>
              <w:right w:val="single" w:sz="4" w:space="0" w:color="000000"/>
            </w:tcBorders>
            <w:vAlign w:val="center"/>
            <w:hideMark/>
          </w:tcPr>
          <w:p w14:paraId="30912089"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C74529" w:rsidRPr="00356C07" w14:paraId="599FEB89" w14:textId="77777777" w:rsidTr="00F44209">
        <w:trPr>
          <w:trHeight w:val="11211"/>
        </w:trPr>
        <w:tc>
          <w:tcPr>
            <w:tcW w:w="6379" w:type="dxa"/>
            <w:tcBorders>
              <w:top w:val="nil"/>
              <w:left w:val="single" w:sz="4" w:space="0" w:color="000000"/>
              <w:right w:val="single" w:sz="4" w:space="0" w:color="auto"/>
            </w:tcBorders>
            <w:shd w:val="clear" w:color="auto" w:fill="auto"/>
            <w:vAlign w:val="center"/>
            <w:hideMark/>
          </w:tcPr>
          <w:p w14:paraId="4EE7DA08" w14:textId="7AD6C472" w:rsidR="00C74529" w:rsidRPr="00356C07" w:rsidRDefault="00C74529" w:rsidP="008018B5">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lastRenderedPageBreak/>
              <w:t>2.1.</w:t>
            </w:r>
            <w:r w:rsidRPr="00356C07">
              <w:rPr>
                <w:rFonts w:ascii="Arial" w:hAnsi="Arial" w:cs="Arial"/>
                <w:sz w:val="20"/>
                <w:szCs w:val="20"/>
              </w:rPr>
              <w:t xml:space="preserve"> </w:t>
            </w:r>
            <w:r w:rsidRPr="00356C07">
              <w:rPr>
                <w:rFonts w:ascii="Arial" w:eastAsia="Times New Roman" w:hAnsi="Arial" w:cs="Arial"/>
                <w:color w:val="000000"/>
                <w:sz w:val="20"/>
                <w:szCs w:val="20"/>
                <w:lang w:eastAsia="et-EE"/>
              </w:rPr>
              <w:t>Projekti olemasoleva olukorra ja projekti vajaduse põhjendatus olukorra analüüsist lähtuvalt</w:t>
            </w:r>
            <w:r>
              <w:rPr>
                <w:rFonts w:ascii="Arial" w:eastAsia="Times New Roman" w:hAnsi="Arial" w:cs="Arial"/>
                <w:color w:val="000000"/>
                <w:sz w:val="20"/>
                <w:szCs w:val="20"/>
                <w:lang w:eastAsia="et-EE"/>
              </w:rPr>
              <w:t xml:space="preserve">, mh </w:t>
            </w:r>
            <w:r w:rsidRPr="00356C07">
              <w:rPr>
                <w:rFonts w:ascii="Arial" w:eastAsia="Times New Roman" w:hAnsi="Arial" w:cs="Arial"/>
                <w:color w:val="000000"/>
                <w:sz w:val="20"/>
                <w:szCs w:val="20"/>
                <w:lang w:eastAsia="et-EE"/>
              </w:rPr>
              <w:t xml:space="preserve"> </w:t>
            </w:r>
            <w:r>
              <w:rPr>
                <w:rFonts w:ascii="Arial" w:eastAsia="Times New Roman" w:hAnsi="Arial" w:cs="Arial"/>
                <w:color w:val="000000"/>
                <w:sz w:val="20"/>
                <w:szCs w:val="20"/>
                <w:lang w:eastAsia="et-EE"/>
              </w:rPr>
              <w:t>p</w:t>
            </w:r>
            <w:r w:rsidRPr="00DE22FF">
              <w:rPr>
                <w:rFonts w:ascii="Arial" w:eastAsia="Times New Roman" w:hAnsi="Arial" w:cs="Arial"/>
                <w:color w:val="000000"/>
                <w:sz w:val="20"/>
                <w:szCs w:val="20"/>
                <w:lang w:eastAsia="et-EE"/>
              </w:rPr>
              <w:t>rojekti tegevuskava selgus, teostatavus ja mõistlikkus</w:t>
            </w:r>
            <w:r>
              <w:rPr>
                <w:rFonts w:ascii="Arial" w:eastAsia="Times New Roman" w:hAnsi="Arial" w:cs="Arial"/>
                <w:color w:val="000000"/>
                <w:sz w:val="20"/>
                <w:szCs w:val="20"/>
                <w:lang w:eastAsia="et-EE"/>
              </w:rPr>
              <w:t>.</w:t>
            </w:r>
          </w:p>
          <w:p w14:paraId="6C9CB71C" w14:textId="77777777" w:rsidR="00C74529" w:rsidRPr="00522475" w:rsidRDefault="00C74529" w:rsidP="00356C07">
            <w:pPr>
              <w:spacing w:after="0" w:line="240" w:lineRule="auto"/>
              <w:jc w:val="both"/>
              <w:rPr>
                <w:rFonts w:ascii="Arial" w:eastAsia="Times New Roman" w:hAnsi="Arial" w:cs="Arial"/>
                <w:i/>
                <w:iCs/>
                <w:sz w:val="20"/>
                <w:szCs w:val="20"/>
                <w:lang w:eastAsia="et-EE"/>
              </w:rPr>
            </w:pPr>
            <w:r w:rsidRPr="00522475">
              <w:rPr>
                <w:rFonts w:ascii="Arial" w:eastAsia="Times New Roman" w:hAnsi="Arial" w:cs="Arial"/>
                <w:i/>
                <w:iCs/>
                <w:sz w:val="20"/>
                <w:szCs w:val="20"/>
                <w:lang w:eastAsia="et-EE"/>
              </w:rPr>
              <w:t>(e-toetuse taotlusvormi sisu alajaotuse andmeväljad „olemasolev olukord ja ülevaade projekti vajalikkusest“, „näitajad“ ja „tegevused“).</w:t>
            </w:r>
          </w:p>
          <w:p w14:paraId="53299146"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7CB71E0A"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Hinnatakse projekti fookus ja kavandatud tegevused on selgelt sõnastatud, tehtud on sihtrühmapõhised kitsendused, st sihtrühma piiritlus ei piirdu vaid terminiga „töötu“ projektis on selgelt  määratletud tegurid, millele fookust seatakse tööhõive tõenäosuse tõstmiseks. Eelnev võimaldab planeerida spetsiifilisi tegevusi/teenuseid sihtrühma olukorrast ja vajadustest lähtuvalt. Projekti kaasatud sihtrühmaanalüüs ja piiritlemine konkreetsete näitajate alusel näitab toetuse saaja ettevalmistust ja projekti läbimõeldust sihtrühma arvestavalt, tegevused on läbimõeldud ja toetavad eesmärki, planeeritav lähenemine on konkreetne ja fokuseeritud.</w:t>
            </w:r>
          </w:p>
          <w:p w14:paraId="18087041"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16C72297"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Hindeid antakse vahemikus 6-0 – hinnete aste (6,3,0).</w:t>
            </w:r>
          </w:p>
          <w:p w14:paraId="7086BE70"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7C44C8BE"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6 punkti</w:t>
            </w:r>
          </w:p>
          <w:p w14:paraId="75D61D2D" w14:textId="77777777" w:rsidR="00C74529" w:rsidRPr="00BC780A" w:rsidRDefault="00C74529"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taotleja on analüüsinud projekti sihtrühma ja nende takistusi tööturule liikumisel ning seal püsimisel</w:t>
            </w:r>
            <w:r>
              <w:rPr>
                <w:rFonts w:ascii="Arial" w:eastAsia="Times New Roman" w:hAnsi="Arial" w:cs="Arial"/>
                <w:color w:val="538135" w:themeColor="accent6" w:themeShade="BF"/>
                <w:sz w:val="20"/>
                <w:szCs w:val="20"/>
                <w:lang w:eastAsia="et-EE"/>
              </w:rPr>
              <w:t>.</w:t>
            </w:r>
          </w:p>
          <w:p w14:paraId="322A46CD" w14:textId="77777777" w:rsidR="00C74529" w:rsidRPr="00BC780A" w:rsidRDefault="00C74529"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taotleja on piiritlenud kavandatava projekti sihtrühma selgelt ja konkreetsetelt vastavalt olemasolevale olukorrale ja ülevaatele projekti vajalikkusest</w:t>
            </w:r>
            <w:r>
              <w:rPr>
                <w:rFonts w:ascii="Arial" w:eastAsia="Times New Roman" w:hAnsi="Arial" w:cs="Arial"/>
                <w:color w:val="538135" w:themeColor="accent6" w:themeShade="BF"/>
                <w:sz w:val="20"/>
                <w:szCs w:val="20"/>
                <w:lang w:eastAsia="et-EE"/>
              </w:rPr>
              <w:t>.</w:t>
            </w:r>
          </w:p>
          <w:p w14:paraId="1AEAFF44" w14:textId="77777777" w:rsidR="00C74529" w:rsidRPr="00BC780A" w:rsidRDefault="00C74529"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projektis kavandatud tegevused on kooskõlas olemasoleva olukorra ning projekti vajalikkuse põhjendusega</w:t>
            </w:r>
            <w:r>
              <w:rPr>
                <w:rFonts w:ascii="Arial" w:eastAsia="Times New Roman" w:hAnsi="Arial" w:cs="Arial"/>
                <w:color w:val="538135" w:themeColor="accent6" w:themeShade="BF"/>
                <w:sz w:val="20"/>
                <w:szCs w:val="20"/>
                <w:lang w:eastAsia="et-EE"/>
              </w:rPr>
              <w:t>.</w:t>
            </w:r>
          </w:p>
          <w:p w14:paraId="444F908C" w14:textId="77777777" w:rsidR="00C74529" w:rsidRPr="00BC780A" w:rsidRDefault="00C74529"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planeeritud tegevused toetavad projekti tulemusnäitajate saavutamist</w:t>
            </w:r>
            <w:r>
              <w:rPr>
                <w:rFonts w:ascii="Arial" w:eastAsia="Times New Roman" w:hAnsi="Arial" w:cs="Arial"/>
                <w:color w:val="538135" w:themeColor="accent6" w:themeShade="BF"/>
                <w:sz w:val="20"/>
                <w:szCs w:val="20"/>
                <w:lang w:eastAsia="et-EE"/>
              </w:rPr>
              <w:t>.</w:t>
            </w:r>
          </w:p>
          <w:p w14:paraId="3B691138"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48C65A53"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3 punkti</w:t>
            </w:r>
          </w:p>
          <w:p w14:paraId="7C83F8D7" w14:textId="77777777" w:rsidR="00C74529" w:rsidRPr="00BC780A" w:rsidRDefault="00C74529"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taotleja analüüs projekti sihtrühma ja nende takistuste osas tööturule liikumisel ning seal püsimisel on pealiskaudne</w:t>
            </w:r>
            <w:r>
              <w:rPr>
                <w:rFonts w:ascii="Arial" w:eastAsia="Times New Roman" w:hAnsi="Arial" w:cs="Arial"/>
                <w:color w:val="538135" w:themeColor="accent6" w:themeShade="BF"/>
                <w:sz w:val="20"/>
                <w:szCs w:val="20"/>
                <w:lang w:eastAsia="et-EE"/>
              </w:rPr>
              <w:t>.</w:t>
            </w:r>
          </w:p>
          <w:p w14:paraId="6DEE5660" w14:textId="77777777" w:rsidR="00C74529" w:rsidRPr="00BC780A" w:rsidRDefault="00C74529"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sihtrühm on üldine ning selles puudub konkreetsus, valitud on vaid määruse § 4 lõikes 1 nimetatud sihtrühm</w:t>
            </w:r>
            <w:r>
              <w:rPr>
                <w:rFonts w:ascii="Arial" w:eastAsia="Times New Roman" w:hAnsi="Arial" w:cs="Arial"/>
                <w:color w:val="538135" w:themeColor="accent6" w:themeShade="BF"/>
                <w:sz w:val="20"/>
                <w:szCs w:val="20"/>
                <w:lang w:eastAsia="et-EE"/>
              </w:rPr>
              <w:t>.</w:t>
            </w:r>
          </w:p>
          <w:p w14:paraId="6B748DE5" w14:textId="77777777" w:rsidR="00C74529" w:rsidRPr="00BC780A" w:rsidRDefault="00C74529"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planeeritud tegevuste eesmärk on ebaselge</w:t>
            </w:r>
            <w:r>
              <w:rPr>
                <w:rFonts w:ascii="Arial" w:eastAsia="Times New Roman" w:hAnsi="Arial" w:cs="Arial"/>
                <w:color w:val="538135" w:themeColor="accent6" w:themeShade="BF"/>
                <w:sz w:val="20"/>
                <w:szCs w:val="20"/>
                <w:lang w:eastAsia="et-EE"/>
              </w:rPr>
              <w:t>.</w:t>
            </w:r>
          </w:p>
          <w:p w14:paraId="71746F1E" w14:textId="77777777" w:rsidR="00C74529" w:rsidRPr="00BC780A" w:rsidRDefault="00C74529"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planeeritud tegevuste mõju projekti tulemusnäitajate saavutamisse on ebaselge</w:t>
            </w:r>
            <w:r>
              <w:rPr>
                <w:rFonts w:ascii="Arial" w:eastAsia="Times New Roman" w:hAnsi="Arial" w:cs="Arial"/>
                <w:color w:val="538135" w:themeColor="accent6" w:themeShade="BF"/>
                <w:sz w:val="20"/>
                <w:szCs w:val="20"/>
                <w:lang w:eastAsia="et-EE"/>
              </w:rPr>
              <w:t>.</w:t>
            </w:r>
          </w:p>
          <w:p w14:paraId="1AD7C584" w14:textId="77777777" w:rsidR="00C74529" w:rsidRPr="006E6F6B" w:rsidRDefault="00C74529" w:rsidP="006E6F6B">
            <w:pPr>
              <w:spacing w:after="0" w:line="240" w:lineRule="auto"/>
              <w:jc w:val="both"/>
              <w:rPr>
                <w:rFonts w:ascii="Arial" w:eastAsia="Times New Roman" w:hAnsi="Arial" w:cs="Arial"/>
                <w:color w:val="538135" w:themeColor="accent6" w:themeShade="BF"/>
                <w:sz w:val="20"/>
                <w:szCs w:val="20"/>
                <w:lang w:eastAsia="et-EE"/>
              </w:rPr>
            </w:pPr>
          </w:p>
          <w:p w14:paraId="62C116EB" w14:textId="77777777" w:rsidR="00C74529" w:rsidRPr="00BC780A"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0 punkti</w:t>
            </w:r>
          </w:p>
          <w:p w14:paraId="24991787" w14:textId="77777777" w:rsidR="00C74529" w:rsidRPr="00BC780A" w:rsidRDefault="00C74529"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taotleja analüüs projekti sihtrühma ja nende takistuste osas tööturule liikumisel ning seal püsimisel on puudulik</w:t>
            </w:r>
            <w:r>
              <w:rPr>
                <w:rFonts w:ascii="Arial" w:eastAsia="Times New Roman" w:hAnsi="Arial" w:cs="Arial"/>
                <w:color w:val="538135" w:themeColor="accent6" w:themeShade="BF"/>
                <w:sz w:val="20"/>
                <w:szCs w:val="20"/>
                <w:lang w:eastAsia="et-EE"/>
              </w:rPr>
              <w:t>.</w:t>
            </w:r>
          </w:p>
          <w:p w14:paraId="20286DF0" w14:textId="77777777" w:rsidR="00C74529" w:rsidRPr="00BC780A" w:rsidRDefault="00C74529" w:rsidP="001C4C22">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valitud tegevused on üldised ja olemasolevaid tööturumeetmeid dubleerivad</w:t>
            </w:r>
            <w:r>
              <w:rPr>
                <w:rFonts w:ascii="Arial" w:eastAsia="Times New Roman" w:hAnsi="Arial" w:cs="Arial"/>
                <w:color w:val="538135" w:themeColor="accent6" w:themeShade="BF"/>
                <w:sz w:val="20"/>
                <w:szCs w:val="20"/>
                <w:lang w:eastAsia="et-EE"/>
              </w:rPr>
              <w:t>.</w:t>
            </w:r>
          </w:p>
          <w:p w14:paraId="4A0E4623" w14:textId="77777777" w:rsidR="00C74529" w:rsidRPr="00BC780A" w:rsidRDefault="00C74529"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seos projekti elluviimiseks planeeritud tegevuste olemasoleva olukorra ning projekti vajalikkuse põhjendusega on ebaselge</w:t>
            </w:r>
            <w:r>
              <w:rPr>
                <w:rFonts w:ascii="Arial" w:eastAsia="Times New Roman" w:hAnsi="Arial" w:cs="Arial"/>
                <w:color w:val="538135" w:themeColor="accent6" w:themeShade="BF"/>
                <w:sz w:val="20"/>
                <w:szCs w:val="20"/>
                <w:lang w:eastAsia="et-EE"/>
              </w:rPr>
              <w:t>.</w:t>
            </w:r>
          </w:p>
          <w:p w14:paraId="1286BFDC" w14:textId="20A57E2A" w:rsidR="00C74529" w:rsidRPr="00356C07" w:rsidRDefault="00C74529" w:rsidP="00356C07">
            <w:pPr>
              <w:pStyle w:val="Loendilik"/>
              <w:numPr>
                <w:ilvl w:val="0"/>
                <w:numId w:val="7"/>
              </w:numPr>
              <w:spacing w:after="0" w:line="240" w:lineRule="auto"/>
              <w:jc w:val="both"/>
              <w:rPr>
                <w:rFonts w:ascii="Arial" w:eastAsia="Times New Roman" w:hAnsi="Arial" w:cs="Arial"/>
                <w:color w:val="000000"/>
                <w:sz w:val="20"/>
                <w:szCs w:val="20"/>
                <w:lang w:eastAsia="et-EE"/>
              </w:rPr>
            </w:pPr>
            <w:r w:rsidRPr="00BC780A">
              <w:rPr>
                <w:rFonts w:ascii="Arial" w:eastAsia="Times New Roman" w:hAnsi="Arial" w:cs="Arial"/>
                <w:color w:val="538135" w:themeColor="accent6" w:themeShade="BF"/>
                <w:sz w:val="20"/>
                <w:szCs w:val="20"/>
                <w:lang w:eastAsia="et-EE"/>
              </w:rPr>
              <w:t>planeeritud tegevused ei toeta projekti tulemusnäitajate saavutamist.</w:t>
            </w:r>
          </w:p>
        </w:tc>
        <w:tc>
          <w:tcPr>
            <w:tcW w:w="1418" w:type="dxa"/>
            <w:tcBorders>
              <w:top w:val="single" w:sz="4" w:space="0" w:color="auto"/>
              <w:left w:val="single" w:sz="4" w:space="0" w:color="auto"/>
              <w:right w:val="single" w:sz="4" w:space="0" w:color="auto"/>
            </w:tcBorders>
            <w:shd w:val="clear" w:color="auto" w:fill="auto"/>
            <w:vAlign w:val="center"/>
            <w:hideMark/>
          </w:tcPr>
          <w:p w14:paraId="567B1D28" w14:textId="29F6FEF9" w:rsidR="00C74529" w:rsidRPr="00356C07" w:rsidRDefault="00C74529" w:rsidP="00356C07">
            <w:pPr>
              <w:spacing w:after="0" w:line="240" w:lineRule="auto"/>
              <w:jc w:val="center"/>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6</w:t>
            </w:r>
          </w:p>
        </w:tc>
        <w:tc>
          <w:tcPr>
            <w:tcW w:w="1417" w:type="dxa"/>
            <w:tcBorders>
              <w:top w:val="nil"/>
              <w:left w:val="single" w:sz="4" w:space="0" w:color="auto"/>
              <w:bottom w:val="single" w:sz="4" w:space="0" w:color="000000"/>
              <w:right w:val="single" w:sz="4" w:space="0" w:color="000000"/>
            </w:tcBorders>
            <w:shd w:val="clear" w:color="auto" w:fill="auto"/>
            <w:vAlign w:val="center"/>
            <w:hideMark/>
          </w:tcPr>
          <w:p w14:paraId="4C1A7740" w14:textId="0E30030A" w:rsidR="00C74529" w:rsidRPr="00356C07" w:rsidRDefault="00C74529" w:rsidP="00356C07">
            <w:pPr>
              <w:spacing w:after="0" w:line="240" w:lineRule="auto"/>
              <w:jc w:val="both"/>
              <w:rPr>
                <w:rFonts w:ascii="Arial" w:eastAsia="Times New Roman" w:hAnsi="Arial" w:cs="Arial"/>
                <w:color w:val="000000"/>
                <w:sz w:val="20"/>
                <w:szCs w:val="20"/>
                <w:lang w:eastAsia="et-EE"/>
              </w:rPr>
            </w:pPr>
          </w:p>
        </w:tc>
      </w:tr>
      <w:tr w:rsidR="00BC780A" w:rsidRPr="00356C07" w14:paraId="2910B885"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2CA76B52" w14:textId="2D836F20" w:rsidR="00BC780A" w:rsidRPr="00356C07" w:rsidRDefault="00A27D52" w:rsidP="00356C07">
            <w:pPr>
              <w:spacing w:after="0" w:line="240" w:lineRule="auto"/>
              <w:jc w:val="both"/>
              <w:rPr>
                <w:rFonts w:ascii="Arial" w:eastAsia="Times New Roman" w:hAnsi="Arial" w:cs="Arial"/>
                <w:color w:val="000000"/>
                <w:sz w:val="20"/>
                <w:szCs w:val="20"/>
                <w:lang w:eastAsia="et-EE"/>
              </w:rPr>
            </w:pPr>
            <w:r w:rsidRPr="00A27D52">
              <w:rPr>
                <w:rFonts w:ascii="Arial" w:eastAsia="Times New Roman" w:hAnsi="Arial" w:cs="Arial"/>
                <w:color w:val="000000"/>
                <w:sz w:val="20"/>
                <w:szCs w:val="20"/>
                <w:lang w:eastAsia="et-EE"/>
              </w:rPr>
              <w:t>Selgitus punkti 2.1 hinnangute kohta:</w:t>
            </w:r>
          </w:p>
        </w:tc>
      </w:tr>
      <w:tr w:rsidR="00BC780A" w:rsidRPr="00356C07" w14:paraId="4AC156C9" w14:textId="77777777" w:rsidTr="00616681">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2EB83B21"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696FED5A"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762B2B51" w14:textId="2439C10C"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2.</w:t>
            </w:r>
            <w:r>
              <w:rPr>
                <w:rFonts w:ascii="Arial" w:eastAsia="Times New Roman" w:hAnsi="Arial" w:cs="Arial"/>
                <w:color w:val="000000"/>
                <w:sz w:val="20"/>
                <w:szCs w:val="20"/>
                <w:lang w:eastAsia="et-EE"/>
              </w:rPr>
              <w:t>2</w:t>
            </w:r>
            <w:r w:rsidRPr="00356C07">
              <w:rPr>
                <w:rFonts w:ascii="Arial" w:eastAsia="Times New Roman" w:hAnsi="Arial" w:cs="Arial"/>
                <w:color w:val="000000"/>
                <w:sz w:val="20"/>
                <w:szCs w:val="20"/>
                <w:lang w:eastAsia="et-EE"/>
              </w:rPr>
              <w:t>. Projekti riskianalüüs (välised ja sisemised riskid)</w:t>
            </w:r>
            <w:r w:rsidR="00AF41D8">
              <w:rPr>
                <w:rFonts w:ascii="Arial" w:eastAsia="Times New Roman" w:hAnsi="Arial" w:cs="Arial"/>
                <w:color w:val="000000"/>
                <w:sz w:val="20"/>
                <w:szCs w:val="20"/>
                <w:lang w:eastAsia="et-EE"/>
              </w:rPr>
              <w:t>.</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29BB82" w14:textId="0DC73B35" w:rsidR="00BC780A" w:rsidRPr="00356C07" w:rsidRDefault="00BC780A" w:rsidP="00356C07">
            <w:pPr>
              <w:spacing w:after="0" w:line="240" w:lineRule="auto"/>
              <w:jc w:val="center"/>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2</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0B5872" w14:textId="1ED5E146"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C74529" w:rsidRPr="00356C07" w14:paraId="7C5C2BC6" w14:textId="77777777" w:rsidTr="00FB7B2F">
        <w:trPr>
          <w:trHeight w:val="7224"/>
        </w:trPr>
        <w:tc>
          <w:tcPr>
            <w:tcW w:w="6379" w:type="dxa"/>
            <w:tcBorders>
              <w:top w:val="nil"/>
              <w:left w:val="single" w:sz="4" w:space="0" w:color="000000"/>
              <w:right w:val="single" w:sz="4" w:space="0" w:color="000000"/>
            </w:tcBorders>
            <w:shd w:val="clear" w:color="auto" w:fill="auto"/>
            <w:vAlign w:val="center"/>
            <w:hideMark/>
          </w:tcPr>
          <w:p w14:paraId="684649AA" w14:textId="77777777" w:rsidR="00C74529" w:rsidRPr="00522475" w:rsidRDefault="00C74529" w:rsidP="00356C07">
            <w:pPr>
              <w:spacing w:after="0" w:line="240" w:lineRule="auto"/>
              <w:jc w:val="both"/>
              <w:rPr>
                <w:rFonts w:ascii="Arial" w:eastAsia="Times New Roman" w:hAnsi="Arial" w:cs="Arial"/>
                <w:i/>
                <w:iCs/>
                <w:sz w:val="20"/>
                <w:szCs w:val="20"/>
                <w:lang w:eastAsia="et-EE"/>
              </w:rPr>
            </w:pPr>
            <w:r w:rsidRPr="00522475">
              <w:rPr>
                <w:rFonts w:ascii="Arial" w:eastAsia="Times New Roman" w:hAnsi="Arial" w:cs="Arial"/>
                <w:i/>
                <w:iCs/>
                <w:sz w:val="20"/>
                <w:szCs w:val="20"/>
                <w:lang w:eastAsia="et-EE"/>
              </w:rPr>
              <w:lastRenderedPageBreak/>
              <w:t>(e-toetuse taotlusvormi sisu alajaotuse andmeväljad „riskianalüüs“ ja „tegevused“)</w:t>
            </w:r>
          </w:p>
          <w:p w14:paraId="6B84F837" w14:textId="77777777" w:rsidR="00C74529" w:rsidRPr="00077C99"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673340AD" w14:textId="77777777" w:rsidR="00C74529" w:rsidRPr="00A27D52"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Hinnatakse projekti riskianalüüsi kvaliteeti, samuti riskianalüüsi tulemusel selgunud tugevuste ja arenguvõimaluste kasutamist projekti õnnestumiseks. Oluline on ka kitsaskohtade ja/või riskide teadvustamine ja nendega arvestamine projekti ebaõnnestumise vältimiseks. Viimase puhul on oluline, et selgunud riskide maandamiseks on kavandatud riske maandavad tegevused.</w:t>
            </w:r>
          </w:p>
          <w:p w14:paraId="34451FDD" w14:textId="77777777" w:rsidR="00C74529" w:rsidRPr="00A27D52"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5AE43428" w14:textId="77777777" w:rsidR="00C74529" w:rsidRPr="00A27D52"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Hindeid antakse vahemikus 2-0 – hinnete aste (2,1,0).</w:t>
            </w:r>
          </w:p>
          <w:p w14:paraId="7FB1B852" w14:textId="77777777" w:rsidR="00C74529" w:rsidRPr="00A27D52"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5FF9212A" w14:textId="77777777" w:rsidR="00C74529" w:rsidRPr="00A27D52"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2 punkti</w:t>
            </w:r>
          </w:p>
          <w:p w14:paraId="737A405D" w14:textId="77777777" w:rsidR="00C74529" w:rsidRPr="00A27D52" w:rsidRDefault="00C74529"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riskianalüüsiga selgunud tugevused on selgelt sõnastatud ja neid kasutatakse projektis seatud eesmärkide saavutamiseks</w:t>
            </w:r>
            <w:r>
              <w:rPr>
                <w:rFonts w:ascii="Arial" w:eastAsia="Times New Roman" w:hAnsi="Arial" w:cs="Arial"/>
                <w:color w:val="538135" w:themeColor="accent6" w:themeShade="BF"/>
                <w:sz w:val="20"/>
                <w:szCs w:val="20"/>
                <w:lang w:eastAsia="et-EE"/>
              </w:rPr>
              <w:t>.</w:t>
            </w:r>
          </w:p>
          <w:p w14:paraId="34043682" w14:textId="77777777" w:rsidR="00C74529" w:rsidRPr="00A27D52" w:rsidRDefault="00C74529"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analüüsi tulemusel selgunud võimalike riskide maandamiseks on planeeritud tegevused, mis kasutavad ära riskianalüüsiga selgunud tugevusi</w:t>
            </w:r>
            <w:r>
              <w:rPr>
                <w:rFonts w:ascii="Arial" w:eastAsia="Times New Roman" w:hAnsi="Arial" w:cs="Arial"/>
                <w:color w:val="538135" w:themeColor="accent6" w:themeShade="BF"/>
                <w:sz w:val="20"/>
                <w:szCs w:val="20"/>
                <w:lang w:eastAsia="et-EE"/>
              </w:rPr>
              <w:t>.</w:t>
            </w:r>
          </w:p>
          <w:p w14:paraId="20ABE37C" w14:textId="77777777" w:rsidR="00C74529" w:rsidRPr="00A27D52" w:rsidRDefault="00C74529"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olemas on selge seos eesmärk-risk-tegevus vahel</w:t>
            </w:r>
            <w:r>
              <w:rPr>
                <w:rFonts w:ascii="Arial" w:eastAsia="Times New Roman" w:hAnsi="Arial" w:cs="Arial"/>
                <w:color w:val="538135" w:themeColor="accent6" w:themeShade="BF"/>
                <w:sz w:val="20"/>
                <w:szCs w:val="20"/>
                <w:lang w:eastAsia="et-EE"/>
              </w:rPr>
              <w:t>.</w:t>
            </w:r>
          </w:p>
          <w:p w14:paraId="7D42BFBE" w14:textId="77777777" w:rsidR="00C74529" w:rsidRPr="00A27D52"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04C2E8F8" w14:textId="77777777" w:rsidR="00C74529" w:rsidRPr="00A27D52"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1 punkt</w:t>
            </w:r>
          </w:p>
          <w:p w14:paraId="447018D5" w14:textId="77777777" w:rsidR="00C74529" w:rsidRPr="00A27D52" w:rsidRDefault="00C74529"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riskianalüüs on pinnapealne ja selle tulemusel on sõnastatud tegevuseesmärgid, mis on üldsõnalised</w:t>
            </w:r>
            <w:r>
              <w:rPr>
                <w:rFonts w:ascii="Arial" w:eastAsia="Times New Roman" w:hAnsi="Arial" w:cs="Arial"/>
                <w:color w:val="538135" w:themeColor="accent6" w:themeShade="BF"/>
                <w:sz w:val="20"/>
                <w:szCs w:val="20"/>
                <w:lang w:eastAsia="et-EE"/>
              </w:rPr>
              <w:t>.</w:t>
            </w:r>
          </w:p>
          <w:p w14:paraId="1B7579B3" w14:textId="77777777" w:rsidR="00C74529" w:rsidRPr="00A27D52" w:rsidRDefault="00C74529"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projekti riskianalüüsi tulemusel selgunud riskide maandamiseks on planeeritud tegevusi, mille oodatav tulemus on osaliselt läbimõeldud ja riski maandav</w:t>
            </w:r>
            <w:r>
              <w:rPr>
                <w:rFonts w:ascii="Arial" w:eastAsia="Times New Roman" w:hAnsi="Arial" w:cs="Arial"/>
                <w:color w:val="538135" w:themeColor="accent6" w:themeShade="BF"/>
                <w:sz w:val="20"/>
                <w:szCs w:val="20"/>
                <w:lang w:eastAsia="et-EE"/>
              </w:rPr>
              <w:t>.</w:t>
            </w:r>
          </w:p>
          <w:p w14:paraId="04CA8519" w14:textId="77777777" w:rsidR="00C74529" w:rsidRPr="00A27D52"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6860C4FB" w14:textId="77777777" w:rsidR="00C74529" w:rsidRPr="00A27D52"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0 punkti</w:t>
            </w:r>
          </w:p>
          <w:p w14:paraId="6371B429" w14:textId="77777777" w:rsidR="00C74529" w:rsidRPr="00A27D52" w:rsidRDefault="00C74529"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projekti riskianalüüs on puudulik</w:t>
            </w:r>
            <w:r>
              <w:rPr>
                <w:rFonts w:ascii="Arial" w:eastAsia="Times New Roman" w:hAnsi="Arial" w:cs="Arial"/>
                <w:color w:val="538135" w:themeColor="accent6" w:themeShade="BF"/>
                <w:sz w:val="20"/>
                <w:szCs w:val="20"/>
                <w:lang w:eastAsia="et-EE"/>
              </w:rPr>
              <w:t>.</w:t>
            </w:r>
          </w:p>
          <w:p w14:paraId="05F17921" w14:textId="1C198714" w:rsidR="00C74529" w:rsidRPr="00A27D52" w:rsidRDefault="00C74529"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analüüsi tulemusel selgunud riskide maandamiseks ei ole sõnastatud sisulisi riske maandavaid tegevusi.</w:t>
            </w:r>
          </w:p>
        </w:tc>
        <w:tc>
          <w:tcPr>
            <w:tcW w:w="1418" w:type="dxa"/>
            <w:vMerge/>
            <w:tcBorders>
              <w:top w:val="nil"/>
              <w:left w:val="single" w:sz="4" w:space="0" w:color="000000"/>
              <w:bottom w:val="single" w:sz="4" w:space="0" w:color="000000"/>
              <w:right w:val="single" w:sz="4" w:space="0" w:color="000000"/>
            </w:tcBorders>
            <w:vAlign w:val="center"/>
            <w:hideMark/>
          </w:tcPr>
          <w:p w14:paraId="1BC09BE4" w14:textId="77777777" w:rsidR="00C74529" w:rsidRPr="00356C07" w:rsidRDefault="00C74529"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nil"/>
              <w:left w:val="single" w:sz="4" w:space="0" w:color="000000"/>
              <w:bottom w:val="single" w:sz="4" w:space="0" w:color="000000"/>
              <w:right w:val="single" w:sz="4" w:space="0" w:color="000000"/>
            </w:tcBorders>
            <w:vAlign w:val="center"/>
            <w:hideMark/>
          </w:tcPr>
          <w:p w14:paraId="47293672" w14:textId="77777777" w:rsidR="00C74529" w:rsidRPr="00356C07" w:rsidRDefault="00C74529" w:rsidP="00356C07">
            <w:pPr>
              <w:spacing w:after="0" w:line="240" w:lineRule="auto"/>
              <w:jc w:val="both"/>
              <w:rPr>
                <w:rFonts w:ascii="Arial" w:eastAsia="Times New Roman" w:hAnsi="Arial" w:cs="Arial"/>
                <w:color w:val="000000"/>
                <w:sz w:val="20"/>
                <w:szCs w:val="20"/>
                <w:lang w:eastAsia="et-EE"/>
              </w:rPr>
            </w:pPr>
          </w:p>
        </w:tc>
      </w:tr>
      <w:tr w:rsidR="00BC780A" w:rsidRPr="00356C07" w14:paraId="7E2AD39B"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10F2F" w14:textId="376AB6AD"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Selgitus punkti 2.</w:t>
            </w:r>
            <w:r>
              <w:rPr>
                <w:rFonts w:ascii="Arial" w:eastAsia="Times New Roman" w:hAnsi="Arial" w:cs="Arial"/>
                <w:color w:val="000000"/>
                <w:sz w:val="20"/>
                <w:szCs w:val="20"/>
                <w:lang w:eastAsia="et-EE"/>
              </w:rPr>
              <w:t>2</w:t>
            </w:r>
            <w:r w:rsidRPr="00356C07">
              <w:rPr>
                <w:rFonts w:ascii="Arial" w:eastAsia="Times New Roman" w:hAnsi="Arial" w:cs="Arial"/>
                <w:color w:val="000000"/>
                <w:sz w:val="20"/>
                <w:szCs w:val="20"/>
                <w:lang w:eastAsia="et-EE"/>
              </w:rPr>
              <w:t xml:space="preserve"> hinnangute kohta:</w:t>
            </w:r>
          </w:p>
        </w:tc>
      </w:tr>
      <w:tr w:rsidR="00BC780A" w:rsidRPr="00356C07" w14:paraId="1F5C69DE" w14:textId="77777777" w:rsidTr="00BC780A">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4C04D932"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C74529" w:rsidRPr="00356C07" w14:paraId="55E3D9E3" w14:textId="77777777" w:rsidTr="00FF06E3">
        <w:trPr>
          <w:trHeight w:val="8140"/>
        </w:trPr>
        <w:tc>
          <w:tcPr>
            <w:tcW w:w="6379" w:type="dxa"/>
            <w:tcBorders>
              <w:top w:val="nil"/>
              <w:left w:val="single" w:sz="4" w:space="0" w:color="000000"/>
              <w:right w:val="single" w:sz="4" w:space="0" w:color="000000"/>
            </w:tcBorders>
            <w:shd w:val="clear" w:color="auto" w:fill="auto"/>
            <w:vAlign w:val="center"/>
            <w:hideMark/>
          </w:tcPr>
          <w:p w14:paraId="46569F56" w14:textId="4F27B2CB" w:rsidR="00C74529" w:rsidRPr="00BA76F8" w:rsidRDefault="00C74529" w:rsidP="00356C07">
            <w:pPr>
              <w:spacing w:after="0" w:line="240" w:lineRule="auto"/>
              <w:jc w:val="both"/>
              <w:rPr>
                <w:rFonts w:ascii="Arial" w:eastAsia="Times New Roman" w:hAnsi="Arial" w:cs="Arial"/>
                <w:sz w:val="20"/>
                <w:szCs w:val="20"/>
                <w:lang w:eastAsia="et-EE"/>
              </w:rPr>
            </w:pPr>
            <w:r w:rsidRPr="00BA76F8">
              <w:rPr>
                <w:rFonts w:ascii="Arial" w:eastAsia="Times New Roman" w:hAnsi="Arial" w:cs="Arial"/>
                <w:sz w:val="20"/>
                <w:szCs w:val="20"/>
                <w:lang w:eastAsia="et-EE"/>
              </w:rPr>
              <w:lastRenderedPageBreak/>
              <w:t>2.3. Projekti tegevuste elluviimiseks kaasatud partnerid ja koostööpartnerid.</w:t>
            </w:r>
          </w:p>
          <w:p w14:paraId="456A2B94" w14:textId="77777777" w:rsidR="00C74529" w:rsidRPr="00BA76F8"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w:t>
            </w:r>
            <w:r w:rsidRPr="00522475">
              <w:rPr>
                <w:rFonts w:ascii="Arial" w:eastAsia="Times New Roman" w:hAnsi="Arial" w:cs="Arial"/>
                <w:i/>
                <w:iCs/>
                <w:sz w:val="20"/>
                <w:szCs w:val="20"/>
                <w:lang w:eastAsia="et-EE"/>
              </w:rPr>
              <w:t>e-toetuse taotlusvormi alajaotus „partnerid“, „tegevused“  ja taotlusvormi lisa 3 „Partneri kinnituskiri“)</w:t>
            </w:r>
          </w:p>
          <w:p w14:paraId="1516A063" w14:textId="77777777" w:rsidR="00C74529" w:rsidRPr="00BA76F8"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2013C4B7" w14:textId="77777777" w:rsidR="00C74529" w:rsidRPr="00BA76F8"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 xml:space="preserve">Hinnatakse partnerite kaasatust projekti eesmärkide täitmisesse, oluline on seos partneri ja tegevuse vahel st valitud partneril peab olema kanda sisuline roll eesmärgi täitmisel, kuid partneri/koostööpartneri roll ei tohiks olla suurem kui projekti elluviija roll ja vastutus. </w:t>
            </w:r>
            <w:r w:rsidRPr="00C65201">
              <w:rPr>
                <w:rFonts w:ascii="Arial" w:eastAsia="Times New Roman" w:hAnsi="Arial" w:cs="Arial"/>
                <w:color w:val="538135" w:themeColor="accent6" w:themeShade="BF"/>
                <w:sz w:val="20"/>
                <w:szCs w:val="20"/>
                <w:lang w:eastAsia="et-EE"/>
              </w:rPr>
              <w:t xml:space="preserve">Partneriks loetakse partneri kinnituskirjas nimetatud </w:t>
            </w:r>
            <w:r w:rsidRPr="002C1DC1">
              <w:rPr>
                <w:rFonts w:ascii="Arial" w:eastAsia="Times New Roman" w:hAnsi="Arial" w:cs="Arial"/>
                <w:color w:val="538135" w:themeColor="accent6" w:themeShade="BF"/>
                <w:sz w:val="20"/>
                <w:szCs w:val="20"/>
                <w:lang w:eastAsia="et-EE"/>
              </w:rPr>
              <w:t>valitsusasutus või selle hallatav riigiasutus</w:t>
            </w:r>
            <w:r w:rsidRPr="00C65201">
              <w:rPr>
                <w:rFonts w:ascii="Arial" w:eastAsia="Times New Roman" w:hAnsi="Arial" w:cs="Arial"/>
                <w:color w:val="538135" w:themeColor="accent6" w:themeShade="BF"/>
                <w:sz w:val="20"/>
                <w:szCs w:val="20"/>
                <w:lang w:eastAsia="et-EE"/>
              </w:rPr>
              <w:t>või juriidiline isik</w:t>
            </w:r>
            <w:r>
              <w:rPr>
                <w:rFonts w:ascii="Arial" w:eastAsia="Times New Roman" w:hAnsi="Arial" w:cs="Arial"/>
                <w:color w:val="538135" w:themeColor="accent6" w:themeShade="BF"/>
                <w:sz w:val="20"/>
                <w:szCs w:val="20"/>
                <w:lang w:eastAsia="et-EE"/>
              </w:rPr>
              <w:t xml:space="preserve"> või </w:t>
            </w:r>
            <w:r w:rsidRPr="00C65201">
              <w:rPr>
                <w:rFonts w:ascii="Arial" w:eastAsia="Times New Roman" w:hAnsi="Arial" w:cs="Arial"/>
                <w:color w:val="538135" w:themeColor="accent6" w:themeShade="BF"/>
                <w:sz w:val="20"/>
                <w:szCs w:val="20"/>
                <w:lang w:eastAsia="et-EE"/>
              </w:rPr>
              <w:t xml:space="preserve"> </w:t>
            </w:r>
            <w:r w:rsidRPr="002C1DC1">
              <w:rPr>
                <w:rFonts w:ascii="Arial" w:eastAsia="Times New Roman" w:hAnsi="Arial" w:cs="Arial"/>
                <w:color w:val="538135" w:themeColor="accent6" w:themeShade="BF"/>
                <w:sz w:val="20"/>
                <w:szCs w:val="20"/>
                <w:lang w:eastAsia="et-EE"/>
              </w:rPr>
              <w:t>kohaliku omavalitsuse üksus või selle asutus</w:t>
            </w:r>
            <w:r>
              <w:rPr>
                <w:rFonts w:ascii="Arial" w:eastAsia="Times New Roman" w:hAnsi="Arial" w:cs="Arial"/>
                <w:color w:val="538135" w:themeColor="accent6" w:themeShade="BF"/>
                <w:sz w:val="20"/>
                <w:szCs w:val="20"/>
                <w:lang w:eastAsia="et-EE"/>
              </w:rPr>
              <w:t xml:space="preserve"> </w:t>
            </w:r>
            <w:r w:rsidRPr="00C65201">
              <w:rPr>
                <w:rFonts w:ascii="Arial" w:eastAsia="Times New Roman" w:hAnsi="Arial" w:cs="Arial"/>
                <w:color w:val="538135" w:themeColor="accent6" w:themeShade="BF"/>
                <w:sz w:val="20"/>
                <w:szCs w:val="20"/>
                <w:lang w:eastAsia="et-EE"/>
              </w:rPr>
              <w:t>kes osaleb seatud eesmärkide saavutamiseks kavandatud tegevustes.</w:t>
            </w:r>
          </w:p>
          <w:p w14:paraId="316E76A6" w14:textId="77777777" w:rsidR="00C74529" w:rsidRPr="00BA76F8"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75CA93CB" w14:textId="77777777" w:rsidR="00C74529" w:rsidRPr="00BA76F8"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Hindeid antakse vahemikus 3-0 – hinnete astmed (3,1,0).</w:t>
            </w:r>
          </w:p>
          <w:p w14:paraId="7794DC9C" w14:textId="77777777" w:rsidR="00C74529" w:rsidRPr="00BA76F8"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24E05545" w14:textId="77777777" w:rsidR="00C74529" w:rsidRPr="00BA76F8"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3 punkti</w:t>
            </w:r>
          </w:p>
          <w:p w14:paraId="4D33F0A3" w14:textId="77777777" w:rsidR="00C74529" w:rsidRPr="00BA76F8" w:rsidRDefault="00C74529" w:rsidP="00356C07">
            <w:pPr>
              <w:pStyle w:val="Loendilik"/>
              <w:numPr>
                <w:ilvl w:val="0"/>
                <w:numId w:val="5"/>
              </w:num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projekti elluviimiseks seatud eesmärkide saavutamiseks on kaasatud laiapõhjaline partnerite ring, ei ole piirdutud vaid Eesti Töötukassa kaasamisega</w:t>
            </w:r>
            <w:r>
              <w:rPr>
                <w:rFonts w:ascii="Arial" w:eastAsia="Times New Roman" w:hAnsi="Arial" w:cs="Arial"/>
                <w:color w:val="538135" w:themeColor="accent6" w:themeShade="BF"/>
                <w:sz w:val="20"/>
                <w:szCs w:val="20"/>
                <w:lang w:eastAsia="et-EE"/>
              </w:rPr>
              <w:t>.</w:t>
            </w:r>
          </w:p>
          <w:p w14:paraId="5CA37C5F" w14:textId="77777777" w:rsidR="00C74529" w:rsidRPr="00BA76F8" w:rsidRDefault="00C74529" w:rsidP="00C65201">
            <w:pPr>
              <w:pStyle w:val="Loendilik"/>
              <w:numPr>
                <w:ilvl w:val="0"/>
                <w:numId w:val="5"/>
              </w:num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partneri roll seatud tegevuste saavutamiseks on selgelt kirjeldatud ning partneri roll projekti elluviimisel arusaadav</w:t>
            </w:r>
            <w:r>
              <w:rPr>
                <w:rFonts w:ascii="Arial" w:eastAsia="Times New Roman" w:hAnsi="Arial" w:cs="Arial"/>
                <w:color w:val="538135" w:themeColor="accent6" w:themeShade="BF"/>
                <w:sz w:val="20"/>
                <w:szCs w:val="20"/>
                <w:lang w:eastAsia="et-EE"/>
              </w:rPr>
              <w:t>.</w:t>
            </w:r>
          </w:p>
          <w:p w14:paraId="06E73C94" w14:textId="77777777" w:rsidR="00C74529" w:rsidRPr="00BA76F8" w:rsidRDefault="00C74529" w:rsidP="00356C07">
            <w:pPr>
              <w:pStyle w:val="Loendilik"/>
              <w:numPr>
                <w:ilvl w:val="0"/>
                <w:numId w:val="5"/>
              </w:num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kaasatud partner aitab maandada 2.2 raames teostatud riskianalüüsil ilmnenud võimalikku kitsaskohta</w:t>
            </w:r>
            <w:r>
              <w:rPr>
                <w:rFonts w:ascii="Arial" w:eastAsia="Times New Roman" w:hAnsi="Arial" w:cs="Arial"/>
                <w:color w:val="538135" w:themeColor="accent6" w:themeShade="BF"/>
                <w:sz w:val="20"/>
                <w:szCs w:val="20"/>
                <w:lang w:eastAsia="et-EE"/>
              </w:rPr>
              <w:t>.</w:t>
            </w:r>
          </w:p>
          <w:p w14:paraId="700BBB1A" w14:textId="77777777" w:rsidR="00C74529" w:rsidRPr="00BA76F8"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0D15BD46" w14:textId="77777777" w:rsidR="00C74529" w:rsidRPr="00BA76F8"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1 punkt</w:t>
            </w:r>
          </w:p>
          <w:p w14:paraId="160ADE67" w14:textId="77777777" w:rsidR="00C74529" w:rsidRPr="00BA76F8" w:rsidRDefault="00C74529" w:rsidP="00356C07">
            <w:pPr>
              <w:pStyle w:val="Loendilik"/>
              <w:numPr>
                <w:ilvl w:val="0"/>
                <w:numId w:val="5"/>
              </w:num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projekti elluviimiseks seatud eesmärkide saavutamiseks ja tegevuste läbiviimiseks on kaasatud partner</w:t>
            </w:r>
            <w:r>
              <w:rPr>
                <w:rFonts w:ascii="Arial" w:eastAsia="Times New Roman" w:hAnsi="Arial" w:cs="Arial"/>
                <w:color w:val="538135" w:themeColor="accent6" w:themeShade="BF"/>
                <w:sz w:val="20"/>
                <w:szCs w:val="20"/>
                <w:lang w:eastAsia="et-EE"/>
              </w:rPr>
              <w:t>.</w:t>
            </w:r>
          </w:p>
          <w:p w14:paraId="3A02E332" w14:textId="77777777" w:rsidR="00C74529" w:rsidRPr="00BA76F8" w:rsidRDefault="00C74529" w:rsidP="00356C07">
            <w:pPr>
              <w:pStyle w:val="Loendilik"/>
              <w:numPr>
                <w:ilvl w:val="0"/>
                <w:numId w:val="5"/>
              </w:num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partneri roll ning seos tegevuse läbiviimisel on selgelt kirjeldatud ja mõõdetav</w:t>
            </w:r>
            <w:r>
              <w:rPr>
                <w:rFonts w:ascii="Arial" w:eastAsia="Times New Roman" w:hAnsi="Arial" w:cs="Arial"/>
                <w:color w:val="538135" w:themeColor="accent6" w:themeShade="BF"/>
                <w:sz w:val="20"/>
                <w:szCs w:val="20"/>
                <w:lang w:eastAsia="et-EE"/>
              </w:rPr>
              <w:t>.</w:t>
            </w:r>
          </w:p>
          <w:p w14:paraId="1BD2BD79" w14:textId="77777777" w:rsidR="00C74529" w:rsidRPr="00BA76F8"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7EBB894B" w14:textId="77777777" w:rsidR="00C74529" w:rsidRPr="00BA76F8"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0 punkti</w:t>
            </w:r>
          </w:p>
          <w:p w14:paraId="375634CD" w14:textId="7B8F073E" w:rsidR="00C74529" w:rsidRPr="00BA76F8" w:rsidRDefault="00C74529" w:rsidP="00BA76F8">
            <w:pPr>
              <w:pStyle w:val="Loendilik"/>
              <w:numPr>
                <w:ilvl w:val="0"/>
                <w:numId w:val="5"/>
              </w:num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projekti elluviimiseks seatud eesmärkide saavutamiseks on kaasatud partner kelle roll tegevuse läbiviimisel on ebaselge, mitterealistlik.</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01347D6F" w14:textId="7FC5BB68" w:rsidR="00C74529" w:rsidRPr="00C65201" w:rsidRDefault="00C74529" w:rsidP="00356C07">
            <w:pPr>
              <w:spacing w:after="0" w:line="240" w:lineRule="auto"/>
              <w:jc w:val="center"/>
              <w:rPr>
                <w:rFonts w:ascii="Arial" w:eastAsia="Times New Roman" w:hAnsi="Arial" w:cs="Arial"/>
                <w:color w:val="000000"/>
                <w:sz w:val="20"/>
                <w:szCs w:val="20"/>
                <w:lang w:eastAsia="et-EE"/>
              </w:rPr>
            </w:pPr>
            <w:r w:rsidRPr="00C65201">
              <w:rPr>
                <w:rFonts w:ascii="Arial" w:eastAsia="Times New Roman" w:hAnsi="Arial" w:cs="Arial"/>
                <w:color w:val="000000"/>
                <w:sz w:val="20"/>
                <w:szCs w:val="20"/>
                <w:lang w:eastAsia="et-EE"/>
              </w:rPr>
              <w:t>3</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55BCC073" w14:textId="6E611E57" w:rsidR="00C74529" w:rsidRPr="00356C07" w:rsidRDefault="00C74529" w:rsidP="00356C07">
            <w:pPr>
              <w:spacing w:after="0" w:line="240" w:lineRule="auto"/>
              <w:jc w:val="both"/>
              <w:rPr>
                <w:rFonts w:ascii="Arial" w:eastAsia="Times New Roman" w:hAnsi="Arial" w:cs="Arial"/>
                <w:color w:val="000000"/>
                <w:sz w:val="20"/>
                <w:szCs w:val="20"/>
                <w:lang w:eastAsia="et-EE"/>
              </w:rPr>
            </w:pPr>
          </w:p>
        </w:tc>
      </w:tr>
      <w:tr w:rsidR="00BC780A" w:rsidRPr="00356C07" w14:paraId="47D98806"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C8FDB" w14:textId="5784C5FF"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Selgitus punkti 2.</w:t>
            </w:r>
            <w:r>
              <w:rPr>
                <w:rFonts w:ascii="Arial" w:eastAsia="Times New Roman" w:hAnsi="Arial" w:cs="Arial"/>
                <w:color w:val="000000"/>
                <w:sz w:val="20"/>
                <w:szCs w:val="20"/>
                <w:lang w:eastAsia="et-EE"/>
              </w:rPr>
              <w:t>3</w:t>
            </w:r>
            <w:r w:rsidRPr="00356C07">
              <w:rPr>
                <w:rFonts w:ascii="Arial" w:eastAsia="Times New Roman" w:hAnsi="Arial" w:cs="Arial"/>
                <w:color w:val="000000"/>
                <w:sz w:val="20"/>
                <w:szCs w:val="20"/>
                <w:lang w:eastAsia="et-EE"/>
              </w:rPr>
              <w:t xml:space="preserve"> hinnangute kohta:</w:t>
            </w:r>
          </w:p>
        </w:tc>
      </w:tr>
      <w:tr w:rsidR="00BC780A" w:rsidRPr="00356C07" w14:paraId="472EC357" w14:textId="77777777" w:rsidTr="00BC780A">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7F443A26"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1DD34F94" w14:textId="77777777" w:rsidTr="00BC780A">
        <w:trPr>
          <w:trHeight w:val="300"/>
        </w:trPr>
        <w:tc>
          <w:tcPr>
            <w:tcW w:w="6379" w:type="dxa"/>
            <w:tcBorders>
              <w:top w:val="nil"/>
              <w:left w:val="single" w:sz="4" w:space="0" w:color="000000"/>
              <w:bottom w:val="nil"/>
              <w:right w:val="single" w:sz="4" w:space="0" w:color="auto"/>
            </w:tcBorders>
            <w:shd w:val="clear" w:color="auto" w:fill="auto"/>
            <w:vAlign w:val="center"/>
            <w:hideMark/>
          </w:tcPr>
          <w:p w14:paraId="6808BCD7"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3. Projekti kuluefektiivsus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174F3" w14:textId="61152283" w:rsidR="00BC780A" w:rsidRPr="00356C07" w:rsidRDefault="00BC780A" w:rsidP="00356C07">
            <w:pPr>
              <w:spacing w:after="0" w:line="240" w:lineRule="auto"/>
              <w:jc w:val="center"/>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056E3" w14:textId="24F4B841" w:rsidR="00BC780A" w:rsidRPr="00165FE2" w:rsidRDefault="00BC780A" w:rsidP="00356C07">
            <w:pPr>
              <w:spacing w:after="0" w:line="240" w:lineRule="auto"/>
              <w:jc w:val="both"/>
              <w:rPr>
                <w:rFonts w:ascii="Arial" w:eastAsia="Times New Roman" w:hAnsi="Arial" w:cs="Arial"/>
                <w:b/>
                <w:bCs/>
                <w:color w:val="000000"/>
                <w:sz w:val="20"/>
                <w:szCs w:val="20"/>
                <w:lang w:eastAsia="et-EE"/>
              </w:rPr>
            </w:pPr>
          </w:p>
        </w:tc>
      </w:tr>
      <w:tr w:rsidR="00C74529" w:rsidRPr="00356C07" w14:paraId="5EF49DA0" w14:textId="77777777" w:rsidTr="00B94735">
        <w:trPr>
          <w:trHeight w:val="10384"/>
        </w:trPr>
        <w:tc>
          <w:tcPr>
            <w:tcW w:w="6379" w:type="dxa"/>
            <w:tcBorders>
              <w:top w:val="single" w:sz="4" w:space="0" w:color="auto"/>
              <w:left w:val="single" w:sz="4" w:space="0" w:color="000000"/>
              <w:right w:val="single" w:sz="4" w:space="0" w:color="000000"/>
            </w:tcBorders>
            <w:shd w:val="clear" w:color="auto" w:fill="auto"/>
            <w:vAlign w:val="center"/>
            <w:hideMark/>
          </w:tcPr>
          <w:p w14:paraId="699BB73F" w14:textId="56AFA441" w:rsidR="00C74529" w:rsidRPr="0053467C" w:rsidRDefault="00C74529" w:rsidP="00356C07">
            <w:pPr>
              <w:spacing w:after="0" w:line="240" w:lineRule="auto"/>
              <w:jc w:val="both"/>
              <w:rPr>
                <w:rFonts w:ascii="Arial" w:eastAsia="Times New Roman" w:hAnsi="Arial" w:cs="Arial"/>
                <w:sz w:val="20"/>
                <w:szCs w:val="20"/>
                <w:lang w:eastAsia="et-EE"/>
              </w:rPr>
            </w:pPr>
            <w:r w:rsidRPr="00807BEB">
              <w:rPr>
                <w:rFonts w:ascii="Arial" w:eastAsia="Times New Roman" w:hAnsi="Arial" w:cs="Arial"/>
                <w:sz w:val="20"/>
                <w:szCs w:val="20"/>
                <w:lang w:eastAsia="et-EE"/>
              </w:rPr>
              <w:lastRenderedPageBreak/>
              <w:t>3.1. Projekti üldine kuluefektiivsus</w:t>
            </w:r>
            <w:r>
              <w:rPr>
                <w:rFonts w:ascii="Arial" w:eastAsia="Times New Roman" w:hAnsi="Arial" w:cs="Arial"/>
                <w:sz w:val="20"/>
                <w:szCs w:val="20"/>
                <w:lang w:eastAsia="et-EE"/>
              </w:rPr>
              <w:t>.</w:t>
            </w:r>
          </w:p>
          <w:p w14:paraId="394C8EAF" w14:textId="77777777" w:rsidR="00C74529" w:rsidRPr="00522475" w:rsidRDefault="00C74529" w:rsidP="00356C07">
            <w:pPr>
              <w:spacing w:after="0" w:line="240" w:lineRule="auto"/>
              <w:jc w:val="both"/>
              <w:rPr>
                <w:rFonts w:ascii="Arial" w:eastAsia="Times New Roman" w:hAnsi="Arial" w:cs="Arial"/>
                <w:i/>
                <w:iCs/>
                <w:sz w:val="20"/>
                <w:szCs w:val="20"/>
                <w:lang w:eastAsia="et-EE"/>
              </w:rPr>
            </w:pPr>
            <w:r w:rsidRPr="00522475">
              <w:rPr>
                <w:rFonts w:ascii="Arial" w:eastAsia="Times New Roman" w:hAnsi="Arial" w:cs="Arial"/>
                <w:i/>
                <w:iCs/>
                <w:sz w:val="20"/>
                <w:szCs w:val="20"/>
                <w:lang w:eastAsia="et-EE"/>
              </w:rPr>
              <w:t>(e-toetuse taotlusvormi sisu alajaotuse andmeväljad „projekti eesmärk ja tulemused“, „näitajad“ ja „eelarve“)</w:t>
            </w:r>
          </w:p>
          <w:p w14:paraId="490AACB6" w14:textId="77777777" w:rsidR="00C74529" w:rsidRPr="00807BEB"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3990937D" w14:textId="77777777" w:rsidR="00C74529" w:rsidRPr="00807BEB"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807BEB">
              <w:rPr>
                <w:rFonts w:ascii="Arial" w:eastAsia="Times New Roman" w:hAnsi="Arial" w:cs="Arial"/>
                <w:color w:val="538135" w:themeColor="accent6" w:themeShade="BF"/>
                <w:sz w:val="20"/>
                <w:szCs w:val="20"/>
                <w:lang w:eastAsia="et-EE"/>
              </w:rPr>
              <w:t>Oluline on tasakaal projekti planeeritud eelarve ja eesmärgi ning tulemuse vahel st, et kui punktides 2.2 ja 2.3 hinnatakse planeeritud teenuste asjakohasust, vastavus sihtrühma vajadusele ning nende mõju eesmärgile siis kuluefektiivsuse osas on oluline veenduda planeeritud kulude põhjendatuses. Põhjendatuse puhul tuleb jälgida nii kulu suurust inimese osas, terve projekti vaates kui ka kulude tasakaalu st tagada eelarvelised vahendid mis toetavad seatud eesmärgi ja tulemuse saavutamist vajaliku eelarve ulatuses.</w:t>
            </w:r>
          </w:p>
          <w:p w14:paraId="7A770649" w14:textId="77777777" w:rsidR="00C74529" w:rsidRPr="00BE3903"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Hindeid antakse vahemikus 4-0 – hinnete astmed (4,2,0).</w:t>
            </w:r>
          </w:p>
          <w:p w14:paraId="43392398" w14:textId="77777777" w:rsidR="00C74529" w:rsidRPr="00BE3903"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0217487A" w14:textId="77777777" w:rsidR="00C74529" w:rsidRPr="00BE3903"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4 punk</w:t>
            </w:r>
            <w:r>
              <w:rPr>
                <w:rFonts w:ascii="Arial" w:eastAsia="Times New Roman" w:hAnsi="Arial" w:cs="Arial"/>
                <w:color w:val="538135" w:themeColor="accent6" w:themeShade="BF"/>
                <w:sz w:val="20"/>
                <w:szCs w:val="20"/>
                <w:lang w:eastAsia="et-EE"/>
              </w:rPr>
              <w:t>t</w:t>
            </w:r>
            <w:r w:rsidRPr="00BE3903">
              <w:rPr>
                <w:rFonts w:ascii="Arial" w:eastAsia="Times New Roman" w:hAnsi="Arial" w:cs="Arial"/>
                <w:color w:val="538135" w:themeColor="accent6" w:themeShade="BF"/>
                <w:sz w:val="20"/>
                <w:szCs w:val="20"/>
                <w:lang w:eastAsia="et-EE"/>
              </w:rPr>
              <w:t>i</w:t>
            </w:r>
          </w:p>
          <w:p w14:paraId="52442405" w14:textId="77777777" w:rsidR="00C74529" w:rsidRPr="00BE3903"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Projekti sõnastatud eesmärgid ja tulemused on sidustatud projekti väljundnäitajatega</w:t>
            </w:r>
            <w:r>
              <w:rPr>
                <w:rFonts w:ascii="Arial" w:eastAsia="Times New Roman" w:hAnsi="Arial" w:cs="Arial"/>
                <w:color w:val="538135" w:themeColor="accent6" w:themeShade="BF"/>
                <w:sz w:val="20"/>
                <w:szCs w:val="20"/>
                <w:lang w:eastAsia="et-EE"/>
              </w:rPr>
              <w:t>.</w:t>
            </w:r>
          </w:p>
          <w:p w14:paraId="1B26BA66" w14:textId="77777777" w:rsidR="00C74529" w:rsidRPr="00BE3903"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Eelarves on planeeritud rahalised vahendid võimaldavad saavutada seatud eesmärke</w:t>
            </w:r>
            <w:r>
              <w:rPr>
                <w:rFonts w:ascii="Arial" w:eastAsia="Times New Roman" w:hAnsi="Arial" w:cs="Arial"/>
                <w:color w:val="538135" w:themeColor="accent6" w:themeShade="BF"/>
                <w:sz w:val="20"/>
                <w:szCs w:val="20"/>
                <w:lang w:eastAsia="et-EE"/>
              </w:rPr>
              <w:t>.</w:t>
            </w:r>
          </w:p>
          <w:p w14:paraId="37C998B9" w14:textId="77777777" w:rsidR="00C74529" w:rsidRPr="00BE3903"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Eelarve on mõistlik, st kulusid ei ole paisutatud ega tarbetult kitsendatud</w:t>
            </w:r>
            <w:r>
              <w:rPr>
                <w:rFonts w:ascii="Arial" w:eastAsia="Times New Roman" w:hAnsi="Arial" w:cs="Arial"/>
                <w:color w:val="538135" w:themeColor="accent6" w:themeShade="BF"/>
                <w:sz w:val="20"/>
                <w:szCs w:val="20"/>
                <w:lang w:eastAsia="et-EE"/>
              </w:rPr>
              <w:t>.</w:t>
            </w:r>
          </w:p>
          <w:p w14:paraId="4BF4B77D" w14:textId="77777777" w:rsidR="00C74529" w:rsidRPr="00BE3903"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Eelarvevahendite planeeritud kasutamine toetab projektis seatud eesmärkide saavutamist</w:t>
            </w:r>
            <w:r>
              <w:rPr>
                <w:rFonts w:ascii="Arial" w:eastAsia="Times New Roman" w:hAnsi="Arial" w:cs="Arial"/>
                <w:color w:val="538135" w:themeColor="accent6" w:themeShade="BF"/>
                <w:sz w:val="20"/>
                <w:szCs w:val="20"/>
                <w:lang w:eastAsia="et-EE"/>
              </w:rPr>
              <w:t>.</w:t>
            </w:r>
          </w:p>
          <w:p w14:paraId="06301ECA" w14:textId="77777777" w:rsidR="00C74529" w:rsidRPr="00BE3903"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7F19DFD4" w14:textId="77777777" w:rsidR="00C74529" w:rsidRPr="00BE3903"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 xml:space="preserve">2 punkti </w:t>
            </w:r>
          </w:p>
          <w:p w14:paraId="1EACCDEA" w14:textId="77777777" w:rsidR="00C74529" w:rsidRPr="00BE3903"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Projekti sõnastatud eesmärgid ja tulemuste sidusus projekti väljundnäitajatega on nõrk</w:t>
            </w:r>
            <w:r>
              <w:rPr>
                <w:rFonts w:ascii="Arial" w:eastAsia="Times New Roman" w:hAnsi="Arial" w:cs="Arial"/>
                <w:color w:val="538135" w:themeColor="accent6" w:themeShade="BF"/>
                <w:sz w:val="20"/>
                <w:szCs w:val="20"/>
                <w:lang w:eastAsia="et-EE"/>
              </w:rPr>
              <w:t>.</w:t>
            </w:r>
          </w:p>
          <w:p w14:paraId="66645442" w14:textId="77777777" w:rsidR="00C74529" w:rsidRPr="00BE3903"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Projekti eelarves kavandatud rahalised vahendid võimaldavad seatud eesmärke osaliselt saavutada</w:t>
            </w:r>
            <w:r>
              <w:rPr>
                <w:rFonts w:ascii="Arial" w:eastAsia="Times New Roman" w:hAnsi="Arial" w:cs="Arial"/>
                <w:color w:val="538135" w:themeColor="accent6" w:themeShade="BF"/>
                <w:sz w:val="20"/>
                <w:szCs w:val="20"/>
                <w:lang w:eastAsia="et-EE"/>
              </w:rPr>
              <w:t>.</w:t>
            </w:r>
          </w:p>
          <w:p w14:paraId="32016868" w14:textId="77777777" w:rsidR="00C74529" w:rsidRPr="00BE3903"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Planeeritud eelarve on ebamõistlik, st kulusid on kas paisutatud või tarbetult kitsendatud</w:t>
            </w:r>
            <w:r>
              <w:rPr>
                <w:rFonts w:ascii="Arial" w:eastAsia="Times New Roman" w:hAnsi="Arial" w:cs="Arial"/>
                <w:color w:val="538135" w:themeColor="accent6" w:themeShade="BF"/>
                <w:sz w:val="20"/>
                <w:szCs w:val="20"/>
                <w:lang w:eastAsia="et-EE"/>
              </w:rPr>
              <w:t>.</w:t>
            </w:r>
          </w:p>
          <w:p w14:paraId="7B0F1DFE" w14:textId="77777777" w:rsidR="00C74529" w:rsidRPr="00BE3903"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Eelarvevahendite planeeritud kasutamine toetab osaliselt projekti eesmärkide saavutamist</w:t>
            </w:r>
            <w:r>
              <w:rPr>
                <w:rFonts w:ascii="Arial" w:eastAsia="Times New Roman" w:hAnsi="Arial" w:cs="Arial"/>
                <w:color w:val="538135" w:themeColor="accent6" w:themeShade="BF"/>
                <w:sz w:val="20"/>
                <w:szCs w:val="20"/>
                <w:lang w:eastAsia="et-EE"/>
              </w:rPr>
              <w:t>.</w:t>
            </w:r>
          </w:p>
          <w:p w14:paraId="0DFE8CAB" w14:textId="77777777" w:rsidR="00C74529" w:rsidRPr="00BE3903"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7967251B" w14:textId="77777777" w:rsidR="00C74529" w:rsidRPr="00BE3903"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 xml:space="preserve">0 punkti </w:t>
            </w:r>
          </w:p>
          <w:p w14:paraId="0507645D" w14:textId="77777777" w:rsidR="00C74529" w:rsidRPr="00BE3903" w:rsidRDefault="00C74529" w:rsidP="00356C07">
            <w:pPr>
              <w:pStyle w:val="Loendilik"/>
              <w:numPr>
                <w:ilvl w:val="0"/>
                <w:numId w:val="6"/>
              </w:numPr>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Projekti sõnastatud eesmärgid ja tulemused ei ole sidustatud projekti väljundnäitajatega</w:t>
            </w:r>
            <w:r>
              <w:rPr>
                <w:rFonts w:ascii="Arial" w:eastAsia="Times New Roman" w:hAnsi="Arial" w:cs="Arial"/>
                <w:color w:val="538135" w:themeColor="accent6" w:themeShade="BF"/>
                <w:sz w:val="20"/>
                <w:szCs w:val="20"/>
                <w:lang w:eastAsia="et-EE"/>
              </w:rPr>
              <w:t>.</w:t>
            </w:r>
          </w:p>
          <w:p w14:paraId="07A1F877" w14:textId="77777777" w:rsidR="00C74529" w:rsidRPr="00BE3903" w:rsidRDefault="00C74529" w:rsidP="00356C07">
            <w:pPr>
              <w:pStyle w:val="Loendilik"/>
              <w:numPr>
                <w:ilvl w:val="0"/>
                <w:numId w:val="6"/>
              </w:numPr>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Projekti eelarves planeeritud rahalised vahendid ei võimalda seatud eesmärke saavutada</w:t>
            </w:r>
            <w:r>
              <w:rPr>
                <w:rFonts w:ascii="Arial" w:eastAsia="Times New Roman" w:hAnsi="Arial" w:cs="Arial"/>
                <w:color w:val="538135" w:themeColor="accent6" w:themeShade="BF"/>
                <w:sz w:val="20"/>
                <w:szCs w:val="20"/>
                <w:lang w:eastAsia="et-EE"/>
              </w:rPr>
              <w:t>.</w:t>
            </w:r>
          </w:p>
          <w:p w14:paraId="6BC594F1" w14:textId="77777777" w:rsidR="00C74529" w:rsidRPr="00BE3903"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Planeeritud eelarve on ebamõistlik, st kulusid on kas paisutatud või tarbetult kitsendatud</w:t>
            </w:r>
            <w:r>
              <w:rPr>
                <w:rFonts w:ascii="Arial" w:eastAsia="Times New Roman" w:hAnsi="Arial" w:cs="Arial"/>
                <w:color w:val="538135" w:themeColor="accent6" w:themeShade="BF"/>
                <w:sz w:val="20"/>
                <w:szCs w:val="20"/>
                <w:lang w:eastAsia="et-EE"/>
              </w:rPr>
              <w:t>.</w:t>
            </w:r>
          </w:p>
          <w:p w14:paraId="4EA0A58D" w14:textId="15EFC5BC" w:rsidR="00C74529" w:rsidRPr="00807BEB"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Eelarvevahendite planeeritud kasutamine ei ole kooskõlas projekti eesmärkide saavutamisega.</w:t>
            </w:r>
          </w:p>
        </w:tc>
        <w:tc>
          <w:tcPr>
            <w:tcW w:w="141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3FBE253" w14:textId="2A61DE5F" w:rsidR="00C74529" w:rsidRPr="00356C07" w:rsidRDefault="00C74529" w:rsidP="00356C07">
            <w:pPr>
              <w:spacing w:after="0" w:line="240" w:lineRule="auto"/>
              <w:jc w:val="center"/>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4</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7126444B" w14:textId="5B4D55FA" w:rsidR="00C74529" w:rsidRPr="00356C07" w:rsidRDefault="00C74529" w:rsidP="00356C07">
            <w:pPr>
              <w:spacing w:after="0" w:line="240" w:lineRule="auto"/>
              <w:jc w:val="both"/>
              <w:rPr>
                <w:rFonts w:ascii="Arial" w:eastAsia="Times New Roman" w:hAnsi="Arial" w:cs="Arial"/>
                <w:color w:val="000000"/>
                <w:sz w:val="20"/>
                <w:szCs w:val="20"/>
                <w:lang w:eastAsia="et-EE"/>
              </w:rPr>
            </w:pPr>
          </w:p>
        </w:tc>
      </w:tr>
      <w:tr w:rsidR="00BC780A" w:rsidRPr="00356C07" w14:paraId="4023335F"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0BA69"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Selgitus punkti 3.1 hinnangute kohta:</w:t>
            </w:r>
          </w:p>
        </w:tc>
      </w:tr>
      <w:tr w:rsidR="00BC780A" w:rsidRPr="00356C07" w14:paraId="15B16FD4" w14:textId="77777777" w:rsidTr="00BC780A">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21768D65"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C74529" w:rsidRPr="00356C07" w14:paraId="5631DB0A" w14:textId="77777777" w:rsidTr="00F109A2">
        <w:trPr>
          <w:trHeight w:val="6580"/>
        </w:trPr>
        <w:tc>
          <w:tcPr>
            <w:tcW w:w="6379" w:type="dxa"/>
            <w:tcBorders>
              <w:top w:val="nil"/>
              <w:left w:val="single" w:sz="4" w:space="0" w:color="000000"/>
              <w:right w:val="single" w:sz="4" w:space="0" w:color="000000"/>
            </w:tcBorders>
            <w:shd w:val="clear" w:color="auto" w:fill="auto"/>
            <w:vAlign w:val="center"/>
            <w:hideMark/>
          </w:tcPr>
          <w:p w14:paraId="496BC279" w14:textId="2B3D229D" w:rsidR="00C74529" w:rsidRPr="00356C07" w:rsidRDefault="00C74529"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lastRenderedPageBreak/>
              <w:t>3.2.</w:t>
            </w:r>
            <w:r w:rsidRPr="00356C07">
              <w:rPr>
                <w:rFonts w:ascii="Arial" w:hAnsi="Arial" w:cs="Arial"/>
                <w:sz w:val="20"/>
                <w:szCs w:val="20"/>
              </w:rPr>
              <w:t xml:space="preserve"> </w:t>
            </w:r>
            <w:r w:rsidRPr="00356C07">
              <w:rPr>
                <w:rFonts w:ascii="Arial" w:eastAsia="Times New Roman" w:hAnsi="Arial" w:cs="Arial"/>
                <w:color w:val="000000"/>
                <w:sz w:val="20"/>
                <w:szCs w:val="20"/>
                <w:lang w:eastAsia="et-EE"/>
              </w:rPr>
              <w:t>Konkreetsete kavandatud kulutuste vajalikkus, põhjendatus ja mõistlikkus projekti rakendamise seisukohast</w:t>
            </w:r>
            <w:r>
              <w:rPr>
                <w:rFonts w:ascii="Arial" w:eastAsia="Times New Roman" w:hAnsi="Arial" w:cs="Arial"/>
                <w:color w:val="000000"/>
                <w:sz w:val="20"/>
                <w:szCs w:val="20"/>
                <w:lang w:eastAsia="et-EE"/>
              </w:rPr>
              <w:t>.</w:t>
            </w:r>
          </w:p>
          <w:p w14:paraId="2349B882" w14:textId="77777777" w:rsidR="00C74529" w:rsidRPr="00223129" w:rsidRDefault="00C74529" w:rsidP="00356C07">
            <w:pPr>
              <w:spacing w:after="0" w:line="240" w:lineRule="auto"/>
              <w:jc w:val="both"/>
              <w:rPr>
                <w:rFonts w:ascii="Arial" w:eastAsia="Times New Roman" w:hAnsi="Arial" w:cs="Arial"/>
                <w:i/>
                <w:iCs/>
                <w:sz w:val="20"/>
                <w:szCs w:val="20"/>
                <w:lang w:eastAsia="et-EE"/>
              </w:rPr>
            </w:pPr>
            <w:r w:rsidRPr="00223129">
              <w:rPr>
                <w:rFonts w:ascii="Arial" w:eastAsia="Times New Roman" w:hAnsi="Arial" w:cs="Arial"/>
                <w:i/>
                <w:iCs/>
                <w:sz w:val="20"/>
                <w:szCs w:val="20"/>
                <w:lang w:eastAsia="et-EE"/>
              </w:rPr>
              <w:t>(e-toetuse taotlusvormi sisu alajaotuse andmeväljad „olemasolev olukord ja ülevaade projekti vajalikkusest“, „tegevused“ ja „eelarve“)</w:t>
            </w:r>
          </w:p>
          <w:p w14:paraId="5E381563"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28995FB7"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 xml:space="preserve">Oluline on hinnata, et projekti raames kavandatud tegevused ja nende elluviimiseks planeeritud kulutused on vajalikud ja põhjendatud olemasoleva olukorra ja projekti vajalikkuse vaatepunktist. </w:t>
            </w:r>
          </w:p>
          <w:p w14:paraId="1EF9C6C6"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6F4B64DB"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Hindeid antakse vahemikus 4-0 – hinnete astmed (4,2,0).</w:t>
            </w:r>
          </w:p>
          <w:p w14:paraId="3A6917FA"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6CC99361"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 xml:space="preserve">4 puntki </w:t>
            </w:r>
          </w:p>
          <w:p w14:paraId="0C27EDF9" w14:textId="77777777" w:rsidR="00C74529" w:rsidRPr="00B16260"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kavandatud kulutused on konkreetsete tegevuste raames nende elluviimiseks vajalikud ja põhjendatud</w:t>
            </w:r>
            <w:r>
              <w:rPr>
                <w:rFonts w:ascii="Arial" w:eastAsia="Times New Roman" w:hAnsi="Arial" w:cs="Arial"/>
                <w:color w:val="538135" w:themeColor="accent6" w:themeShade="BF"/>
                <w:sz w:val="20"/>
                <w:szCs w:val="20"/>
                <w:lang w:eastAsia="et-EE"/>
              </w:rPr>
              <w:t>.</w:t>
            </w:r>
          </w:p>
          <w:p w14:paraId="72E11523" w14:textId="77777777" w:rsidR="00C74529" w:rsidRPr="00B16260"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planeeritud tegevustel on selge seos ja need toetavad olemasoleva olukorra analüüsi ja projekti vajalikkuse kirjeldust</w:t>
            </w:r>
            <w:r>
              <w:rPr>
                <w:rFonts w:ascii="Arial" w:eastAsia="Times New Roman" w:hAnsi="Arial" w:cs="Arial"/>
                <w:color w:val="538135" w:themeColor="accent6" w:themeShade="BF"/>
                <w:sz w:val="20"/>
                <w:szCs w:val="20"/>
                <w:lang w:eastAsia="et-EE"/>
              </w:rPr>
              <w:t>.</w:t>
            </w:r>
          </w:p>
          <w:p w14:paraId="3FF4DBF2"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2FA6B30C"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 xml:space="preserve">2 punkti </w:t>
            </w:r>
          </w:p>
          <w:p w14:paraId="292FAEEC" w14:textId="77777777" w:rsidR="00C74529" w:rsidRPr="00B16260" w:rsidRDefault="00C74529" w:rsidP="00356C07">
            <w:pPr>
              <w:pStyle w:val="Loendilik"/>
              <w:numPr>
                <w:ilvl w:val="0"/>
                <w:numId w:val="6"/>
              </w:numPr>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kavandatud kulutuste vajalikkus ja põhjendatus on konkreetsete tegevuste raames ebaselge</w:t>
            </w:r>
            <w:r>
              <w:rPr>
                <w:rFonts w:ascii="Arial" w:eastAsia="Times New Roman" w:hAnsi="Arial" w:cs="Arial"/>
                <w:color w:val="538135" w:themeColor="accent6" w:themeShade="BF"/>
                <w:sz w:val="20"/>
                <w:szCs w:val="20"/>
                <w:lang w:eastAsia="et-EE"/>
              </w:rPr>
              <w:t>.</w:t>
            </w:r>
          </w:p>
          <w:p w14:paraId="25566C3A" w14:textId="77777777" w:rsidR="00C74529"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planeeritud tegevuste seos olemasoleva olukorra analüüsi ja projekti vajalikkuse kirjeldusega on ebaselge.</w:t>
            </w:r>
          </w:p>
          <w:p w14:paraId="7F82B466"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0 punkti</w:t>
            </w:r>
          </w:p>
          <w:p w14:paraId="544FAA42" w14:textId="77777777" w:rsidR="00C74529" w:rsidRPr="00B16260"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kavandatud kulutused ei ole planeeritud tegevuste raames vajalikud ja põhjendatud</w:t>
            </w:r>
            <w:r>
              <w:rPr>
                <w:rFonts w:ascii="Arial" w:eastAsia="Times New Roman" w:hAnsi="Arial" w:cs="Arial"/>
                <w:color w:val="538135" w:themeColor="accent6" w:themeShade="BF"/>
                <w:sz w:val="20"/>
                <w:szCs w:val="20"/>
                <w:lang w:eastAsia="et-EE"/>
              </w:rPr>
              <w:t>.</w:t>
            </w:r>
          </w:p>
          <w:p w14:paraId="531BE32B" w14:textId="0F4393E6" w:rsidR="00C74529" w:rsidRPr="00B16260" w:rsidRDefault="00C74529" w:rsidP="00B16260">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planeeritud tegevustel ei ole seost ja need ei toeta olemasoleva olukorra analüüsi ja projekti vajalikkuse kirjeldust</w:t>
            </w:r>
            <w:r>
              <w:rPr>
                <w:rFonts w:ascii="Arial" w:eastAsia="Times New Roman" w:hAnsi="Arial" w:cs="Arial"/>
                <w:color w:val="538135" w:themeColor="accent6" w:themeShade="BF"/>
                <w:sz w:val="20"/>
                <w:szCs w:val="20"/>
                <w:lang w:eastAsia="et-EE"/>
              </w:rPr>
              <w:t>.</w:t>
            </w:r>
          </w:p>
        </w:tc>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6FE6C993" w14:textId="079C99E3" w:rsidR="00C74529" w:rsidRPr="00356C07" w:rsidRDefault="00C74529" w:rsidP="00356C07">
            <w:pPr>
              <w:spacing w:after="0" w:line="240" w:lineRule="auto"/>
              <w:jc w:val="center"/>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4</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03D00E42" w14:textId="7DE713EF" w:rsidR="00C74529" w:rsidRPr="00356C07" w:rsidRDefault="00C74529" w:rsidP="00356C07">
            <w:pPr>
              <w:spacing w:after="0" w:line="240" w:lineRule="auto"/>
              <w:jc w:val="both"/>
              <w:rPr>
                <w:rFonts w:ascii="Arial" w:eastAsia="Times New Roman" w:hAnsi="Arial" w:cs="Arial"/>
                <w:color w:val="000000"/>
                <w:sz w:val="20"/>
                <w:szCs w:val="20"/>
                <w:lang w:eastAsia="et-EE"/>
              </w:rPr>
            </w:pPr>
          </w:p>
        </w:tc>
      </w:tr>
      <w:tr w:rsidR="00BC780A" w:rsidRPr="00356C07" w14:paraId="2CA8DFAF"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52325"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Selgitus punkti 3.2 hinnangute kohta:</w:t>
            </w:r>
          </w:p>
        </w:tc>
      </w:tr>
      <w:tr w:rsidR="00BC780A" w:rsidRPr="00356C07" w14:paraId="49B35DBA" w14:textId="77777777" w:rsidTr="00AD7666">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6599F884"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6FC971E4" w14:textId="77777777" w:rsidTr="00BC780A">
        <w:trPr>
          <w:trHeight w:val="300"/>
        </w:trPr>
        <w:tc>
          <w:tcPr>
            <w:tcW w:w="6379" w:type="dxa"/>
            <w:tcBorders>
              <w:top w:val="nil"/>
              <w:left w:val="single" w:sz="4" w:space="0" w:color="000000"/>
              <w:bottom w:val="nil"/>
              <w:right w:val="single" w:sz="4" w:space="0" w:color="auto"/>
            </w:tcBorders>
            <w:shd w:val="clear" w:color="auto" w:fill="auto"/>
            <w:vAlign w:val="center"/>
            <w:hideMark/>
          </w:tcPr>
          <w:p w14:paraId="011F7AC5" w14:textId="07BC43A4"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4.</w:t>
            </w:r>
            <w:r w:rsidR="00B16260">
              <w:rPr>
                <w:rFonts w:ascii="Arial" w:eastAsia="Times New Roman" w:hAnsi="Arial" w:cs="Arial"/>
                <w:b/>
                <w:bCs/>
                <w:color w:val="000000"/>
                <w:sz w:val="20"/>
                <w:szCs w:val="20"/>
                <w:lang w:eastAsia="et-EE"/>
              </w:rPr>
              <w:t xml:space="preserve"> </w:t>
            </w:r>
            <w:r w:rsidRPr="00356C07">
              <w:rPr>
                <w:rFonts w:ascii="Arial" w:eastAsia="Times New Roman" w:hAnsi="Arial" w:cs="Arial"/>
                <w:b/>
                <w:bCs/>
                <w:color w:val="000000"/>
                <w:sz w:val="20"/>
                <w:szCs w:val="20"/>
                <w:lang w:eastAsia="et-EE"/>
              </w:rPr>
              <w:t>Taotleja ja partnerite suutlikkus projekti ellu viia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59502" w14:textId="52B70CA6" w:rsidR="00BC780A" w:rsidRPr="00356C07" w:rsidRDefault="00BC780A" w:rsidP="00356C07">
            <w:pPr>
              <w:spacing w:after="0" w:line="240" w:lineRule="auto"/>
              <w:jc w:val="center"/>
              <w:rPr>
                <w:rFonts w:ascii="Arial" w:eastAsia="Times New Roman" w:hAnsi="Arial" w:cs="Arial"/>
                <w:b/>
                <w:bCs/>
                <w:color w:val="000000"/>
                <w:sz w:val="20"/>
                <w:szCs w:val="20"/>
                <w:lang w:eastAsia="et-EE"/>
              </w:rPr>
            </w:pPr>
            <w:r>
              <w:rPr>
                <w:rFonts w:ascii="Arial" w:eastAsia="Times New Roman" w:hAnsi="Arial" w:cs="Arial"/>
                <w:b/>
                <w:bCs/>
                <w:color w:val="000000"/>
                <w:sz w:val="20"/>
                <w:szCs w:val="20"/>
                <w:lang w:eastAsia="et-EE"/>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4578" w14:textId="40E832C9" w:rsidR="00BC780A" w:rsidRPr="00165FE2" w:rsidRDefault="00BC780A" w:rsidP="00356C07">
            <w:pPr>
              <w:spacing w:after="0" w:line="240" w:lineRule="auto"/>
              <w:jc w:val="both"/>
              <w:rPr>
                <w:rFonts w:ascii="Arial" w:eastAsia="Times New Roman" w:hAnsi="Arial" w:cs="Arial"/>
                <w:b/>
                <w:bCs/>
                <w:color w:val="000000"/>
                <w:sz w:val="20"/>
                <w:szCs w:val="20"/>
                <w:lang w:eastAsia="et-EE"/>
              </w:rPr>
            </w:pPr>
          </w:p>
        </w:tc>
      </w:tr>
      <w:tr w:rsidR="00C74529" w:rsidRPr="00356C07" w14:paraId="1CA947FD" w14:textId="77777777" w:rsidTr="00EC51C9">
        <w:trPr>
          <w:trHeight w:val="8894"/>
        </w:trPr>
        <w:tc>
          <w:tcPr>
            <w:tcW w:w="6379"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14B8C28" w14:textId="2E56E844" w:rsidR="00C74529" w:rsidRPr="00356C07" w:rsidRDefault="00C74529"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lastRenderedPageBreak/>
              <w:t>Taotleja ja partneri võimekus ja rollijaotus projekti elluviimisel.</w:t>
            </w:r>
          </w:p>
          <w:p w14:paraId="0C44DE6A" w14:textId="77777777" w:rsidR="00C74529" w:rsidRPr="00223129" w:rsidRDefault="00C74529" w:rsidP="00356C07">
            <w:pPr>
              <w:spacing w:after="0" w:line="240" w:lineRule="auto"/>
              <w:jc w:val="both"/>
              <w:rPr>
                <w:rFonts w:ascii="Arial" w:eastAsia="Times New Roman" w:hAnsi="Arial" w:cs="Arial"/>
                <w:i/>
                <w:iCs/>
                <w:sz w:val="20"/>
                <w:szCs w:val="20"/>
                <w:lang w:eastAsia="et-EE"/>
              </w:rPr>
            </w:pPr>
            <w:r w:rsidRPr="00223129">
              <w:rPr>
                <w:rFonts w:ascii="Arial" w:eastAsia="Times New Roman" w:hAnsi="Arial" w:cs="Arial"/>
                <w:i/>
                <w:iCs/>
                <w:sz w:val="20"/>
                <w:szCs w:val="20"/>
                <w:lang w:eastAsia="et-EE"/>
              </w:rPr>
              <w:t>(e-toetuse taotlusvormi sisu alajaotuse andmeväljad ja „Taotleja kogemused taotluses toodud tegevustega analoogsete tegevuste elluviimisel“, „tegevused“ ja „eelarve“ ning lisa 3 „Partneri kinnituskiri“)</w:t>
            </w:r>
          </w:p>
          <w:p w14:paraId="072D8716" w14:textId="77777777" w:rsidR="00C74529" w:rsidRPr="00223129" w:rsidRDefault="00C74529" w:rsidP="00356C07">
            <w:pPr>
              <w:spacing w:after="0" w:line="240" w:lineRule="auto"/>
              <w:jc w:val="both"/>
              <w:rPr>
                <w:rFonts w:ascii="Arial" w:eastAsia="Times New Roman" w:hAnsi="Arial" w:cs="Arial"/>
                <w:i/>
                <w:iCs/>
                <w:sz w:val="20"/>
                <w:szCs w:val="20"/>
                <w:lang w:eastAsia="et-EE"/>
              </w:rPr>
            </w:pPr>
            <w:r w:rsidRPr="00223129">
              <w:rPr>
                <w:rFonts w:ascii="Arial" w:eastAsia="Times New Roman" w:hAnsi="Arial" w:cs="Arial"/>
                <w:i/>
                <w:iCs/>
                <w:sz w:val="20"/>
                <w:szCs w:val="20"/>
                <w:lang w:eastAsia="et-EE"/>
              </w:rPr>
              <w:t>Hindeid antakse vahemikus 4-0 – hinnete astmed (4,2,0).</w:t>
            </w:r>
          </w:p>
          <w:p w14:paraId="78A403CC"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4 punkti</w:t>
            </w:r>
          </w:p>
          <w:p w14:paraId="47329AC7" w14:textId="77777777" w:rsidR="00C74529" w:rsidRPr="00B16260" w:rsidRDefault="00C74529" w:rsidP="005841A2">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tegevused on sõnastatud arusaadavalt ja tulemustele suunatult, tulemused on asjakohased ja saavutatavad, planeeritud ajakava on realistlik</w:t>
            </w:r>
            <w:r>
              <w:rPr>
                <w:rFonts w:ascii="Arial" w:eastAsia="Times New Roman" w:hAnsi="Arial" w:cs="Arial"/>
                <w:color w:val="538135" w:themeColor="accent6" w:themeShade="BF"/>
                <w:sz w:val="20"/>
                <w:szCs w:val="20"/>
                <w:lang w:eastAsia="et-EE"/>
              </w:rPr>
              <w:t>.</w:t>
            </w:r>
          </w:p>
          <w:p w14:paraId="7B688CE5" w14:textId="77777777" w:rsidR="00C74529" w:rsidRPr="00A85173" w:rsidRDefault="00C74529" w:rsidP="00A85173">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selgelt on arusaadav seos tegevuste elluviimiseks kaasatud partneri(te) ja tegevuse vahel</w:t>
            </w:r>
            <w:r>
              <w:rPr>
                <w:rFonts w:ascii="Arial" w:eastAsia="Times New Roman" w:hAnsi="Arial" w:cs="Arial"/>
                <w:color w:val="538135" w:themeColor="accent6" w:themeShade="BF"/>
                <w:sz w:val="20"/>
                <w:szCs w:val="20"/>
                <w:lang w:eastAsia="et-EE"/>
              </w:rPr>
              <w:t>.</w:t>
            </w:r>
          </w:p>
          <w:p w14:paraId="74F22DC4" w14:textId="77777777" w:rsidR="00C74529" w:rsidRPr="00B16260" w:rsidRDefault="00C74529" w:rsidP="00423311">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taotlejal on varasem kogemus analoogsete tegevuste läbiviimisel ning sellest saadud kogemust kasutatakse projekti edukaks elluviimiseks</w:t>
            </w:r>
            <w:r>
              <w:rPr>
                <w:rFonts w:ascii="Arial" w:eastAsia="Times New Roman" w:hAnsi="Arial" w:cs="Arial"/>
                <w:color w:val="538135" w:themeColor="accent6" w:themeShade="BF"/>
                <w:sz w:val="20"/>
                <w:szCs w:val="20"/>
                <w:lang w:eastAsia="et-EE"/>
              </w:rPr>
              <w:t>.</w:t>
            </w:r>
          </w:p>
          <w:p w14:paraId="09D2ACB8" w14:textId="77777777" w:rsidR="00C74529" w:rsidRPr="00B16260" w:rsidRDefault="00C74529" w:rsidP="00423311">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selgelt on eristatud projekti läbiviija ning kaasatava partneri roll projekti läbiviimisel ning kavandatud eelarve on projekti õnnestumist toetav</w:t>
            </w:r>
            <w:r>
              <w:rPr>
                <w:rFonts w:ascii="Arial" w:eastAsia="Times New Roman" w:hAnsi="Arial" w:cs="Arial"/>
                <w:color w:val="538135" w:themeColor="accent6" w:themeShade="BF"/>
                <w:sz w:val="20"/>
                <w:szCs w:val="20"/>
                <w:lang w:eastAsia="et-EE"/>
              </w:rPr>
              <w:t>.</w:t>
            </w:r>
          </w:p>
          <w:p w14:paraId="7238D3B3"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091E7776"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2 punkt</w:t>
            </w:r>
            <w:r>
              <w:rPr>
                <w:rFonts w:ascii="Arial" w:eastAsia="Times New Roman" w:hAnsi="Arial" w:cs="Arial"/>
                <w:color w:val="538135" w:themeColor="accent6" w:themeShade="BF"/>
                <w:sz w:val="20"/>
                <w:szCs w:val="20"/>
                <w:lang w:eastAsia="et-EE"/>
              </w:rPr>
              <w:t>i</w:t>
            </w:r>
          </w:p>
          <w:p w14:paraId="70D9A00A" w14:textId="77777777" w:rsidR="00C74529" w:rsidRPr="00B16260"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tegevuste kirjeldus on valdavalt arusaadav ja tulemustele suunatult, tulemused on valdavalt asjakohased ja saavutatavad</w:t>
            </w:r>
            <w:r>
              <w:rPr>
                <w:rFonts w:ascii="Arial" w:eastAsia="Times New Roman" w:hAnsi="Arial" w:cs="Arial"/>
                <w:color w:val="538135" w:themeColor="accent6" w:themeShade="BF"/>
                <w:sz w:val="20"/>
                <w:szCs w:val="20"/>
                <w:lang w:eastAsia="et-EE"/>
              </w:rPr>
              <w:t>.</w:t>
            </w:r>
          </w:p>
          <w:p w14:paraId="67DD85FC" w14:textId="77777777" w:rsidR="00C74529" w:rsidRPr="00B16260" w:rsidRDefault="00C74529"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kaasatava partneri(te) ja tegevuse vahel on mõningane seos</w:t>
            </w:r>
            <w:r>
              <w:rPr>
                <w:rFonts w:ascii="Arial" w:eastAsia="Times New Roman" w:hAnsi="Arial" w:cs="Arial"/>
                <w:color w:val="538135" w:themeColor="accent6" w:themeShade="BF"/>
                <w:sz w:val="20"/>
                <w:szCs w:val="20"/>
                <w:lang w:eastAsia="et-EE"/>
              </w:rPr>
              <w:t>.</w:t>
            </w:r>
          </w:p>
          <w:p w14:paraId="3869F32F" w14:textId="77777777" w:rsidR="00C74529" w:rsidRPr="00ED3670" w:rsidRDefault="00C74529" w:rsidP="00ED3670">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taotlejal puudub varasem kogemus analoogsete tegevuste läbiviimisel</w:t>
            </w:r>
            <w:r>
              <w:rPr>
                <w:rFonts w:ascii="Arial" w:eastAsia="Times New Roman" w:hAnsi="Arial" w:cs="Arial"/>
                <w:color w:val="538135" w:themeColor="accent6" w:themeShade="BF"/>
                <w:sz w:val="20"/>
                <w:szCs w:val="20"/>
                <w:lang w:eastAsia="et-EE"/>
              </w:rPr>
              <w:t>.</w:t>
            </w:r>
          </w:p>
          <w:p w14:paraId="53A3155C" w14:textId="77777777" w:rsidR="00C74529" w:rsidRPr="00B16260" w:rsidRDefault="00C74529" w:rsidP="00423311">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projekti läbiviija ning kaasatava partneri</w:t>
            </w:r>
            <w:r>
              <w:rPr>
                <w:rFonts w:ascii="Arial" w:eastAsia="Times New Roman" w:hAnsi="Arial" w:cs="Arial"/>
                <w:color w:val="538135" w:themeColor="accent6" w:themeShade="BF"/>
                <w:sz w:val="20"/>
                <w:szCs w:val="20"/>
                <w:lang w:eastAsia="et-EE"/>
              </w:rPr>
              <w:t>(te)</w:t>
            </w:r>
            <w:r w:rsidRPr="00B16260">
              <w:rPr>
                <w:rFonts w:ascii="Arial" w:eastAsia="Times New Roman" w:hAnsi="Arial" w:cs="Arial"/>
                <w:color w:val="538135" w:themeColor="accent6" w:themeShade="BF"/>
                <w:sz w:val="20"/>
                <w:szCs w:val="20"/>
                <w:lang w:eastAsia="et-EE"/>
              </w:rPr>
              <w:t xml:space="preserve"> roll projekti läbiviimisel ei ole üheselt selge ning kavandatud eelarve toeta projekti õnnestumist parimal viisil</w:t>
            </w:r>
            <w:r>
              <w:rPr>
                <w:rFonts w:ascii="Arial" w:eastAsia="Times New Roman" w:hAnsi="Arial" w:cs="Arial"/>
                <w:color w:val="538135" w:themeColor="accent6" w:themeShade="BF"/>
                <w:sz w:val="20"/>
                <w:szCs w:val="20"/>
                <w:lang w:eastAsia="et-EE"/>
              </w:rPr>
              <w:t>.</w:t>
            </w:r>
          </w:p>
          <w:p w14:paraId="3277489C"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p>
          <w:p w14:paraId="25294883" w14:textId="77777777" w:rsidR="00C74529" w:rsidRPr="00B16260" w:rsidRDefault="00C74529"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0 punkti</w:t>
            </w:r>
          </w:p>
          <w:p w14:paraId="3BCF9A23" w14:textId="77777777" w:rsidR="00C74529" w:rsidRPr="00B16260" w:rsidRDefault="00C74529" w:rsidP="008F59C6">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 xml:space="preserve">tegevuste kirjeldus on ebaselge ja vähesel määral tulemustele suunatult, tulemused ei ole asjakohased ja saavutatavad seatud eelarve raames; </w:t>
            </w:r>
          </w:p>
          <w:p w14:paraId="1E23320A" w14:textId="427AC9CD" w:rsidR="00C74529" w:rsidRPr="00B16260" w:rsidRDefault="00C74529" w:rsidP="00C74529">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projekti elluviija ja kaasatava(te) partneri(te) rollid on jäetud  tegevus(t)es seostamata.</w:t>
            </w:r>
          </w:p>
        </w:tc>
        <w:tc>
          <w:tcPr>
            <w:tcW w:w="1418"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47436700" w14:textId="1EC2EF67" w:rsidR="00C74529" w:rsidRPr="00356C07" w:rsidRDefault="00C74529" w:rsidP="00356C07">
            <w:pPr>
              <w:spacing w:after="0" w:line="240" w:lineRule="auto"/>
              <w:jc w:val="center"/>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4</w:t>
            </w: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hideMark/>
          </w:tcPr>
          <w:p w14:paraId="7FD33BC5" w14:textId="26F11021" w:rsidR="00C74529" w:rsidRPr="00356C07" w:rsidRDefault="00C74529" w:rsidP="00356C07">
            <w:pPr>
              <w:spacing w:after="0" w:line="240" w:lineRule="auto"/>
              <w:jc w:val="both"/>
              <w:rPr>
                <w:rFonts w:ascii="Arial" w:eastAsia="Times New Roman" w:hAnsi="Arial" w:cs="Arial"/>
                <w:color w:val="000000"/>
                <w:sz w:val="20"/>
                <w:szCs w:val="20"/>
                <w:lang w:eastAsia="et-EE"/>
              </w:rPr>
            </w:pPr>
          </w:p>
        </w:tc>
      </w:tr>
      <w:tr w:rsidR="00BC780A" w:rsidRPr="00356C07" w14:paraId="29B575EB" w14:textId="77777777" w:rsidTr="00EC51C9">
        <w:trPr>
          <w:trHeight w:val="300"/>
        </w:trPr>
        <w:tc>
          <w:tcPr>
            <w:tcW w:w="921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A64528" w14:textId="2B231B56"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Selgitus punkti 4 hinnangute kohta:</w:t>
            </w:r>
          </w:p>
        </w:tc>
      </w:tr>
      <w:tr w:rsidR="00BC780A" w:rsidRPr="00356C07" w14:paraId="24CC18E9" w14:textId="77777777" w:rsidTr="00EC51C9">
        <w:trPr>
          <w:trHeight w:val="300"/>
        </w:trPr>
        <w:tc>
          <w:tcPr>
            <w:tcW w:w="9214" w:type="dxa"/>
            <w:gridSpan w:val="3"/>
            <w:vMerge/>
            <w:tcBorders>
              <w:left w:val="single" w:sz="4" w:space="0" w:color="auto"/>
              <w:bottom w:val="single" w:sz="4" w:space="0" w:color="auto"/>
              <w:right w:val="single" w:sz="4" w:space="0" w:color="auto"/>
            </w:tcBorders>
            <w:shd w:val="clear" w:color="auto" w:fill="auto"/>
            <w:vAlign w:val="center"/>
          </w:tcPr>
          <w:p w14:paraId="7F67615C"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74CF3D76" w14:textId="77777777" w:rsidTr="00EC51C9">
        <w:trPr>
          <w:trHeight w:val="300"/>
        </w:trPr>
        <w:tc>
          <w:tcPr>
            <w:tcW w:w="63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4BECBB6" w14:textId="4273F43E" w:rsidR="00BC780A" w:rsidRPr="00AD7666" w:rsidRDefault="00BC780A" w:rsidP="00356C07">
            <w:pPr>
              <w:spacing w:after="0" w:line="240" w:lineRule="auto"/>
              <w:jc w:val="both"/>
              <w:rPr>
                <w:rFonts w:ascii="Arial" w:eastAsia="Times New Roman" w:hAnsi="Arial" w:cs="Arial"/>
                <w:sz w:val="20"/>
                <w:szCs w:val="20"/>
                <w:lang w:eastAsia="et-EE"/>
              </w:rPr>
            </w:pPr>
            <w:r w:rsidRPr="001E7874">
              <w:rPr>
                <w:rFonts w:ascii="Arial" w:eastAsia="Times New Roman" w:hAnsi="Arial" w:cs="Arial"/>
                <w:b/>
                <w:bCs/>
                <w:sz w:val="20"/>
                <w:szCs w:val="20"/>
                <w:lang w:eastAsia="et-EE"/>
              </w:rPr>
              <w:t xml:space="preserve">5. </w:t>
            </w:r>
            <w:r>
              <w:rPr>
                <w:rFonts w:ascii="Arial" w:eastAsia="Times New Roman" w:hAnsi="Arial" w:cs="Arial"/>
                <w:b/>
                <w:bCs/>
                <w:sz w:val="20"/>
                <w:szCs w:val="20"/>
                <w:lang w:eastAsia="et-EE"/>
              </w:rPr>
              <w:t>P</w:t>
            </w:r>
            <w:r w:rsidRPr="001E7874">
              <w:rPr>
                <w:rFonts w:ascii="Arial" w:eastAsia="Times New Roman" w:hAnsi="Arial" w:cs="Arial"/>
                <w:b/>
                <w:bCs/>
                <w:sz w:val="20"/>
                <w:szCs w:val="20"/>
                <w:lang w:eastAsia="et-EE"/>
              </w:rPr>
              <w:t>rojekti kooskõla Eesti pikaajalise arengustrateegia aluspõhimõtete ja sihtidega</w:t>
            </w:r>
          </w:p>
        </w:tc>
        <w:tc>
          <w:tcPr>
            <w:tcW w:w="1418" w:type="dxa"/>
            <w:tcBorders>
              <w:top w:val="single" w:sz="4" w:space="0" w:color="auto"/>
              <w:left w:val="single" w:sz="4" w:space="0" w:color="000000"/>
              <w:bottom w:val="single" w:sz="4" w:space="0" w:color="000000"/>
              <w:right w:val="single" w:sz="4" w:space="0" w:color="000000"/>
            </w:tcBorders>
            <w:vAlign w:val="center"/>
          </w:tcPr>
          <w:p w14:paraId="7699BB23" w14:textId="55DD5BB9" w:rsidR="00BC780A" w:rsidRPr="00AD7666" w:rsidRDefault="00BC780A" w:rsidP="00C35460">
            <w:pPr>
              <w:spacing w:after="0" w:line="240" w:lineRule="auto"/>
              <w:jc w:val="center"/>
              <w:rPr>
                <w:rFonts w:ascii="Arial" w:eastAsia="Times New Roman" w:hAnsi="Arial" w:cs="Arial"/>
                <w:b/>
                <w:bCs/>
                <w:sz w:val="20"/>
                <w:szCs w:val="20"/>
                <w:lang w:eastAsia="et-EE"/>
              </w:rPr>
            </w:pPr>
            <w:r w:rsidRPr="00C35460">
              <w:rPr>
                <w:rFonts w:ascii="Arial" w:eastAsia="Times New Roman" w:hAnsi="Arial" w:cs="Arial"/>
                <w:b/>
                <w:bCs/>
                <w:sz w:val="20"/>
                <w:szCs w:val="20"/>
                <w:lang w:eastAsia="et-EE"/>
              </w:rPr>
              <w:t>4</w:t>
            </w:r>
          </w:p>
        </w:tc>
        <w:tc>
          <w:tcPr>
            <w:tcW w:w="1417" w:type="dxa"/>
            <w:tcBorders>
              <w:top w:val="single" w:sz="4" w:space="0" w:color="auto"/>
              <w:left w:val="single" w:sz="4" w:space="0" w:color="000000"/>
              <w:bottom w:val="single" w:sz="4" w:space="0" w:color="000000"/>
              <w:right w:val="single" w:sz="4" w:space="0" w:color="000000"/>
            </w:tcBorders>
            <w:vAlign w:val="center"/>
          </w:tcPr>
          <w:p w14:paraId="02AD2C7F" w14:textId="77777777" w:rsidR="00BC780A" w:rsidRPr="00AD7666" w:rsidRDefault="00BC780A" w:rsidP="00356C07">
            <w:pPr>
              <w:spacing w:after="0" w:line="240" w:lineRule="auto"/>
              <w:jc w:val="both"/>
              <w:rPr>
                <w:rFonts w:ascii="Arial" w:eastAsia="Times New Roman" w:hAnsi="Arial" w:cs="Arial"/>
                <w:b/>
                <w:bCs/>
                <w:color w:val="000000"/>
                <w:sz w:val="20"/>
                <w:szCs w:val="20"/>
                <w:lang w:eastAsia="et-EE"/>
              </w:rPr>
            </w:pPr>
          </w:p>
        </w:tc>
      </w:tr>
      <w:tr w:rsidR="00BC780A" w:rsidRPr="00356C07" w14:paraId="22C06E30" w14:textId="77777777" w:rsidTr="00BC780A">
        <w:trPr>
          <w:trHeight w:val="300"/>
        </w:trPr>
        <w:tc>
          <w:tcPr>
            <w:tcW w:w="6379" w:type="dxa"/>
            <w:tcBorders>
              <w:top w:val="nil"/>
              <w:left w:val="single" w:sz="4" w:space="0" w:color="000000"/>
              <w:bottom w:val="single" w:sz="4" w:space="0" w:color="000000"/>
              <w:right w:val="single" w:sz="4" w:space="0" w:color="000000"/>
            </w:tcBorders>
            <w:shd w:val="clear" w:color="auto" w:fill="auto"/>
            <w:vAlign w:val="center"/>
          </w:tcPr>
          <w:p w14:paraId="040C0063" w14:textId="45E97268" w:rsidR="00BC780A" w:rsidRDefault="00BC780A" w:rsidP="00C35460">
            <w:pPr>
              <w:spacing w:after="0" w:line="240" w:lineRule="auto"/>
              <w:jc w:val="both"/>
              <w:rPr>
                <w:rFonts w:ascii="Arial" w:eastAsia="Times New Roman" w:hAnsi="Arial" w:cs="Arial"/>
                <w:sz w:val="20"/>
                <w:szCs w:val="20"/>
                <w:lang w:eastAsia="et-EE"/>
              </w:rPr>
            </w:pPr>
            <w:r>
              <w:rPr>
                <w:rFonts w:ascii="Arial" w:eastAsia="Times New Roman" w:hAnsi="Arial" w:cs="Arial"/>
                <w:sz w:val="20"/>
                <w:szCs w:val="20"/>
                <w:lang w:eastAsia="et-EE"/>
              </w:rPr>
              <w:t>Hinnang l</w:t>
            </w:r>
            <w:r w:rsidRPr="009754EB">
              <w:rPr>
                <w:rFonts w:ascii="Arial" w:eastAsia="Times New Roman" w:hAnsi="Arial" w:cs="Arial"/>
                <w:sz w:val="20"/>
                <w:szCs w:val="20"/>
                <w:lang w:eastAsia="et-EE"/>
              </w:rPr>
              <w:t xml:space="preserve">isaks projekti vahetutele eesmärkidele </w:t>
            </w:r>
            <w:r>
              <w:rPr>
                <w:rFonts w:ascii="Arial" w:eastAsia="Times New Roman" w:hAnsi="Arial" w:cs="Arial"/>
                <w:sz w:val="20"/>
                <w:szCs w:val="20"/>
                <w:lang w:eastAsia="et-EE"/>
              </w:rPr>
              <w:t xml:space="preserve">panustamine </w:t>
            </w:r>
            <w:r w:rsidRPr="009754EB">
              <w:rPr>
                <w:rFonts w:ascii="Arial" w:eastAsia="Times New Roman" w:hAnsi="Arial" w:cs="Arial"/>
                <w:sz w:val="20"/>
                <w:szCs w:val="20"/>
                <w:lang w:eastAsia="et-EE"/>
              </w:rPr>
              <w:t>Eesti pikaajalise arengustrateegia aluspõhimõtete ja sihtidega seotud horisontaalsete põhimõtete (sooline võrdõiguslikkus, võrdsed võimalused, ligipääsetavus, kestlik areng, keskkonnakaitse ja kliimaneutraal</w:t>
            </w:r>
            <w:r>
              <w:rPr>
                <w:rFonts w:ascii="Arial" w:eastAsia="Times New Roman" w:hAnsi="Arial" w:cs="Arial"/>
                <w:sz w:val="20"/>
                <w:szCs w:val="20"/>
                <w:lang w:eastAsia="et-EE"/>
              </w:rPr>
              <w:t>s</w:t>
            </w:r>
            <w:r w:rsidRPr="009754EB">
              <w:rPr>
                <w:rFonts w:ascii="Arial" w:eastAsia="Times New Roman" w:hAnsi="Arial" w:cs="Arial"/>
                <w:sz w:val="20"/>
                <w:szCs w:val="20"/>
                <w:lang w:eastAsia="et-EE"/>
              </w:rPr>
              <w:t>us ning täiendavalt regionaalareng) eesmärkide saavutamis</w:t>
            </w:r>
            <w:r>
              <w:rPr>
                <w:rFonts w:ascii="Arial" w:eastAsia="Times New Roman" w:hAnsi="Arial" w:cs="Arial"/>
                <w:sz w:val="20"/>
                <w:szCs w:val="20"/>
                <w:lang w:eastAsia="et-EE"/>
              </w:rPr>
              <w:t>se</w:t>
            </w:r>
            <w:r w:rsidRPr="009754EB">
              <w:rPr>
                <w:rFonts w:ascii="Arial" w:eastAsia="Times New Roman" w:hAnsi="Arial" w:cs="Arial"/>
                <w:sz w:val="20"/>
                <w:szCs w:val="20"/>
                <w:lang w:eastAsia="et-EE"/>
              </w:rPr>
              <w:t xml:space="preserve"> ja panusta</w:t>
            </w:r>
            <w:r>
              <w:rPr>
                <w:rFonts w:ascii="Arial" w:eastAsia="Times New Roman" w:hAnsi="Arial" w:cs="Arial"/>
                <w:sz w:val="20"/>
                <w:szCs w:val="20"/>
                <w:lang w:eastAsia="et-EE"/>
              </w:rPr>
              <w:t>mine</w:t>
            </w:r>
            <w:r w:rsidRPr="009754EB">
              <w:rPr>
                <w:rFonts w:ascii="Arial" w:eastAsia="Times New Roman" w:hAnsi="Arial" w:cs="Arial"/>
                <w:sz w:val="20"/>
                <w:szCs w:val="20"/>
                <w:lang w:eastAsia="et-EE"/>
              </w:rPr>
              <w:t xml:space="preserve"> seeläbi vastavasse strateegia riigi pikaajalise arengustrateegia näitajass</w:t>
            </w:r>
            <w:r>
              <w:rPr>
                <w:rFonts w:ascii="Arial" w:eastAsia="Times New Roman" w:hAnsi="Arial" w:cs="Arial"/>
                <w:sz w:val="20"/>
                <w:szCs w:val="20"/>
                <w:lang w:eastAsia="et-EE"/>
              </w:rPr>
              <w:t>e.</w:t>
            </w:r>
          </w:p>
          <w:p w14:paraId="7498F7F2" w14:textId="77777777" w:rsidR="00BC780A" w:rsidRDefault="00BC780A" w:rsidP="00C35460">
            <w:pPr>
              <w:spacing w:after="0" w:line="240" w:lineRule="auto"/>
              <w:jc w:val="both"/>
              <w:rPr>
                <w:rFonts w:ascii="Arial" w:eastAsia="Times New Roman" w:hAnsi="Arial" w:cs="Arial"/>
                <w:sz w:val="20"/>
                <w:szCs w:val="20"/>
                <w:lang w:eastAsia="et-EE"/>
              </w:rPr>
            </w:pPr>
          </w:p>
          <w:p w14:paraId="3FD30806" w14:textId="441DFE67" w:rsidR="00BC780A" w:rsidRPr="00223129" w:rsidRDefault="00BC780A" w:rsidP="00C35460">
            <w:pPr>
              <w:spacing w:after="0" w:line="240" w:lineRule="auto"/>
              <w:jc w:val="both"/>
              <w:rPr>
                <w:rFonts w:ascii="Arial" w:eastAsia="Times New Roman" w:hAnsi="Arial" w:cs="Arial"/>
                <w:i/>
                <w:iCs/>
                <w:sz w:val="20"/>
                <w:szCs w:val="20"/>
                <w:lang w:eastAsia="et-EE"/>
              </w:rPr>
            </w:pPr>
            <w:r w:rsidRPr="00223129">
              <w:rPr>
                <w:rFonts w:ascii="Arial" w:eastAsia="Times New Roman" w:hAnsi="Arial" w:cs="Arial"/>
                <w:i/>
                <w:iCs/>
                <w:sz w:val="20"/>
                <w:szCs w:val="20"/>
                <w:lang w:eastAsia="et-EE"/>
              </w:rPr>
              <w:t>(e-toetuse taotlusvormi sisu alajaotuse andmeväljas „valdkonna ülesed näitajad“)</w:t>
            </w:r>
          </w:p>
          <w:p w14:paraId="76831E69" w14:textId="77777777" w:rsidR="00BC780A" w:rsidRDefault="00BC780A" w:rsidP="00C35460">
            <w:pPr>
              <w:spacing w:after="0" w:line="240" w:lineRule="auto"/>
              <w:jc w:val="both"/>
              <w:rPr>
                <w:rFonts w:ascii="Arial" w:eastAsia="Times New Roman" w:hAnsi="Arial" w:cs="Arial"/>
                <w:color w:val="538135" w:themeColor="accent6" w:themeShade="BF"/>
                <w:sz w:val="20"/>
                <w:szCs w:val="20"/>
                <w:lang w:eastAsia="et-EE"/>
              </w:rPr>
            </w:pPr>
          </w:p>
          <w:p w14:paraId="5C170EA0" w14:textId="77777777" w:rsidR="00BC780A" w:rsidRPr="0027571C" w:rsidRDefault="00BC780A" w:rsidP="00C35460">
            <w:pPr>
              <w:spacing w:after="0" w:line="240" w:lineRule="auto"/>
              <w:jc w:val="both"/>
              <w:rPr>
                <w:rFonts w:ascii="Arial" w:eastAsia="Times New Roman" w:hAnsi="Arial" w:cs="Arial"/>
                <w:sz w:val="20"/>
                <w:szCs w:val="20"/>
                <w:lang w:eastAsia="et-EE"/>
              </w:rPr>
            </w:pPr>
          </w:p>
          <w:p w14:paraId="6EA4B6A5" w14:textId="77777777" w:rsidR="0090334A" w:rsidRDefault="0090334A" w:rsidP="00C86B37">
            <w:p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Hindeid antakse vahelikus 4-0 – hinnete astmed (4,2,0).</w:t>
            </w:r>
          </w:p>
          <w:p w14:paraId="5A79FEE5" w14:textId="2036BAB0" w:rsidR="00BC780A" w:rsidRPr="00BE3903" w:rsidRDefault="0090334A" w:rsidP="00C86B37">
            <w:p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 xml:space="preserve"> </w:t>
            </w:r>
          </w:p>
          <w:p w14:paraId="51C17C87" w14:textId="2307791C" w:rsidR="00BC780A" w:rsidRPr="00BE3903" w:rsidRDefault="0013726A" w:rsidP="00E570AE">
            <w:p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4</w:t>
            </w:r>
            <w:r w:rsidR="00BC780A" w:rsidRPr="00BE3903">
              <w:rPr>
                <w:rFonts w:ascii="Arial" w:eastAsia="Times New Roman" w:hAnsi="Arial" w:cs="Arial"/>
                <w:color w:val="538135" w:themeColor="accent6" w:themeShade="BF"/>
                <w:sz w:val="20"/>
                <w:szCs w:val="20"/>
                <w:lang w:eastAsia="et-EE"/>
              </w:rPr>
              <w:t xml:space="preserve"> punkti</w:t>
            </w:r>
          </w:p>
          <w:p w14:paraId="06D33651" w14:textId="77777777" w:rsidR="00BC780A" w:rsidRDefault="00BC780A" w:rsidP="0013726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sidRPr="1B65DF7F">
              <w:rPr>
                <w:rFonts w:ascii="Arial" w:eastAsia="Times New Roman" w:hAnsi="Arial" w:cs="Arial"/>
                <w:color w:val="538135" w:themeColor="accent6" w:themeShade="BF"/>
                <w:sz w:val="20"/>
                <w:szCs w:val="20"/>
                <w:lang w:eastAsia="et-EE"/>
              </w:rPr>
              <w:t>Projekti</w:t>
            </w:r>
            <w:r>
              <w:rPr>
                <w:rFonts w:ascii="Arial" w:eastAsia="Times New Roman" w:hAnsi="Arial" w:cs="Arial"/>
                <w:color w:val="538135" w:themeColor="accent6" w:themeShade="BF"/>
                <w:sz w:val="20"/>
                <w:szCs w:val="20"/>
                <w:lang w:eastAsia="et-EE"/>
              </w:rPr>
              <w:t xml:space="preserve"> seos</w:t>
            </w:r>
            <w:r w:rsidRPr="00BE3903">
              <w:rPr>
                <w:rFonts w:ascii="Arial" w:eastAsia="Times New Roman" w:hAnsi="Arial" w:cs="Arial"/>
                <w:color w:val="538135" w:themeColor="accent6" w:themeShade="BF"/>
                <w:sz w:val="20"/>
                <w:szCs w:val="20"/>
                <w:lang w:eastAsia="et-EE"/>
              </w:rPr>
              <w:t xml:space="preserve"> Eesti pikaajalise arengustrateegia aluspõhimõtete ja sihtidega on </w:t>
            </w:r>
            <w:r w:rsidRPr="1B65DF7F">
              <w:rPr>
                <w:rFonts w:ascii="Arial" w:eastAsia="Times New Roman" w:hAnsi="Arial" w:cs="Arial"/>
                <w:color w:val="538135" w:themeColor="accent6" w:themeShade="BF"/>
                <w:sz w:val="20"/>
                <w:szCs w:val="20"/>
                <w:lang w:eastAsia="et-EE"/>
              </w:rPr>
              <w:t xml:space="preserve">selge </w:t>
            </w:r>
            <w:r w:rsidRPr="00BE3903">
              <w:rPr>
                <w:rFonts w:ascii="Arial" w:eastAsia="Times New Roman" w:hAnsi="Arial" w:cs="Arial"/>
                <w:color w:val="538135" w:themeColor="accent6" w:themeShade="BF"/>
                <w:sz w:val="20"/>
                <w:szCs w:val="20"/>
                <w:lang w:eastAsia="et-EE"/>
              </w:rPr>
              <w:t xml:space="preserve">ja üheselt </w:t>
            </w:r>
            <w:r w:rsidRPr="1B65DF7F">
              <w:rPr>
                <w:rFonts w:ascii="Arial" w:eastAsia="Times New Roman" w:hAnsi="Arial" w:cs="Arial"/>
                <w:color w:val="538135" w:themeColor="accent6" w:themeShade="BF"/>
                <w:sz w:val="20"/>
                <w:szCs w:val="20"/>
                <w:lang w:eastAsia="et-EE"/>
              </w:rPr>
              <w:t>mõistetav</w:t>
            </w:r>
            <w:r>
              <w:rPr>
                <w:rFonts w:ascii="Arial" w:eastAsia="Times New Roman" w:hAnsi="Arial" w:cs="Arial"/>
                <w:color w:val="538135" w:themeColor="accent6" w:themeShade="BF"/>
                <w:sz w:val="20"/>
                <w:szCs w:val="20"/>
                <w:lang w:eastAsia="et-EE"/>
              </w:rPr>
              <w:t>.</w:t>
            </w:r>
          </w:p>
          <w:p w14:paraId="6FD76AC9" w14:textId="70BDDDCB" w:rsidR="00BC780A" w:rsidRPr="00BE3903" w:rsidRDefault="00BC780A" w:rsidP="0013726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lastRenderedPageBreak/>
              <w:t>P</w:t>
            </w:r>
            <w:r w:rsidRPr="35316A57">
              <w:rPr>
                <w:rFonts w:ascii="Arial" w:eastAsia="Times New Roman" w:hAnsi="Arial" w:cs="Arial"/>
                <w:color w:val="538135" w:themeColor="accent6" w:themeShade="BF"/>
                <w:sz w:val="20"/>
                <w:szCs w:val="20"/>
                <w:lang w:eastAsia="et-EE"/>
              </w:rPr>
              <w:t xml:space="preserve">rojekti tegevuste kavandamisel on </w:t>
            </w:r>
            <w:r>
              <w:rPr>
                <w:rFonts w:ascii="Arial" w:eastAsia="Times New Roman" w:hAnsi="Arial" w:cs="Arial"/>
                <w:color w:val="538135" w:themeColor="accent6" w:themeShade="BF"/>
                <w:sz w:val="20"/>
                <w:szCs w:val="20"/>
                <w:lang w:eastAsia="et-EE"/>
              </w:rPr>
              <w:t xml:space="preserve">muuhulgas </w:t>
            </w:r>
            <w:r w:rsidRPr="35316A57">
              <w:rPr>
                <w:rFonts w:ascii="Arial" w:eastAsia="Times New Roman" w:hAnsi="Arial" w:cs="Arial"/>
                <w:color w:val="538135" w:themeColor="accent6" w:themeShade="BF"/>
                <w:sz w:val="20"/>
                <w:szCs w:val="20"/>
                <w:lang w:eastAsia="et-EE"/>
              </w:rPr>
              <w:t xml:space="preserve">analüüsitud eri vanuses, erineva emakeelega, erivajadusega </w:t>
            </w:r>
            <w:r w:rsidR="0090334A">
              <w:rPr>
                <w:rFonts w:ascii="Arial" w:eastAsia="Times New Roman" w:hAnsi="Arial" w:cs="Arial"/>
                <w:color w:val="538135" w:themeColor="accent6" w:themeShade="BF"/>
                <w:sz w:val="20"/>
                <w:szCs w:val="20"/>
                <w:lang w:eastAsia="et-EE"/>
              </w:rPr>
              <w:t>inimeste</w:t>
            </w:r>
            <w:r w:rsidR="0090334A" w:rsidRPr="35316A57">
              <w:rPr>
                <w:rFonts w:ascii="Arial" w:eastAsia="Times New Roman" w:hAnsi="Arial" w:cs="Arial"/>
                <w:color w:val="538135" w:themeColor="accent6" w:themeShade="BF"/>
                <w:sz w:val="20"/>
                <w:szCs w:val="20"/>
                <w:lang w:eastAsia="et-EE"/>
              </w:rPr>
              <w:t xml:space="preserve"> </w:t>
            </w:r>
            <w:r w:rsidRPr="35316A57">
              <w:rPr>
                <w:rFonts w:ascii="Arial" w:eastAsia="Times New Roman" w:hAnsi="Arial" w:cs="Arial"/>
                <w:color w:val="538135" w:themeColor="accent6" w:themeShade="BF"/>
                <w:sz w:val="20"/>
                <w:szCs w:val="20"/>
                <w:lang w:eastAsia="et-EE"/>
              </w:rPr>
              <w:t xml:space="preserve">olukorda ja võimalusi tööturul ja kavandatud tegevusi nende takistuste kõrvaldamiseks, mis ei võimalda neil </w:t>
            </w:r>
            <w:r>
              <w:rPr>
                <w:rFonts w:ascii="Arial" w:eastAsia="Times New Roman" w:hAnsi="Arial" w:cs="Arial"/>
                <w:color w:val="538135" w:themeColor="accent6" w:themeShade="BF"/>
                <w:sz w:val="20"/>
                <w:szCs w:val="20"/>
                <w:lang w:eastAsia="et-EE"/>
              </w:rPr>
              <w:t>teistega samadel alustel tööturul konkureerida.</w:t>
            </w:r>
          </w:p>
          <w:p w14:paraId="3628850D" w14:textId="77777777" w:rsidR="00BC780A" w:rsidRDefault="00BC780A" w:rsidP="0013726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T</w:t>
            </w:r>
            <w:r w:rsidRPr="00554047">
              <w:rPr>
                <w:rFonts w:ascii="Arial" w:eastAsia="Times New Roman" w:hAnsi="Arial" w:cs="Arial"/>
                <w:color w:val="538135" w:themeColor="accent6" w:themeShade="BF"/>
                <w:sz w:val="20"/>
                <w:szCs w:val="20"/>
                <w:lang w:eastAsia="et-EE"/>
              </w:rPr>
              <w:t>egevus</w:t>
            </w:r>
            <w:r>
              <w:rPr>
                <w:rFonts w:ascii="Arial" w:eastAsia="Times New Roman" w:hAnsi="Arial" w:cs="Arial"/>
                <w:color w:val="538135" w:themeColor="accent6" w:themeShade="BF"/>
                <w:sz w:val="20"/>
                <w:szCs w:val="20"/>
                <w:lang w:eastAsia="et-EE"/>
              </w:rPr>
              <w:t>i</w:t>
            </w:r>
            <w:r w:rsidRPr="00554047">
              <w:rPr>
                <w:rFonts w:ascii="Arial" w:eastAsia="Times New Roman" w:hAnsi="Arial" w:cs="Arial"/>
                <w:color w:val="538135" w:themeColor="accent6" w:themeShade="BF"/>
                <w:sz w:val="20"/>
                <w:szCs w:val="20"/>
                <w:lang w:eastAsia="et-EE"/>
              </w:rPr>
              <w:t xml:space="preserve">, millega panustatakse vähemusrühmadele võrdsete võimaluste tagamisse </w:t>
            </w:r>
            <w:r>
              <w:rPr>
                <w:rFonts w:ascii="Arial" w:eastAsia="Times New Roman" w:hAnsi="Arial" w:cs="Arial"/>
                <w:color w:val="538135" w:themeColor="accent6" w:themeShade="BF"/>
                <w:sz w:val="20"/>
                <w:szCs w:val="20"/>
                <w:lang w:eastAsia="et-EE"/>
              </w:rPr>
              <w:t>on taotlusvormis selgelt ja arusaadavalt kirjeldatud.</w:t>
            </w:r>
          </w:p>
          <w:p w14:paraId="2D19C1B6" w14:textId="7E2FEF07" w:rsidR="0090334A" w:rsidRDefault="0090334A" w:rsidP="0013726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 xml:space="preserve">Tegevusi, millega panustatakse soolise võrdõiguslikkuse edendamisse on taotlusvormis selgelt kirjeldatud. </w:t>
            </w:r>
          </w:p>
          <w:p w14:paraId="79455D3E" w14:textId="3A52556D" w:rsidR="0013726A" w:rsidRDefault="0013726A" w:rsidP="0090334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Tegevusi, millega panustatakse ligipääsetavuse tagamisse on taotlusvormis selgelt ja arusaadavalt kirjeldatud.</w:t>
            </w:r>
          </w:p>
          <w:p w14:paraId="5CB1725B" w14:textId="77777777" w:rsidR="0090334A" w:rsidRPr="003217B7" w:rsidRDefault="0090334A" w:rsidP="0090334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p>
          <w:p w14:paraId="4B850A14" w14:textId="71CB5D0A" w:rsidR="00BC780A" w:rsidRPr="00BE3903" w:rsidRDefault="0013726A" w:rsidP="00E570AE">
            <w:p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2</w:t>
            </w:r>
            <w:r w:rsidR="00BC780A" w:rsidRPr="00BE3903">
              <w:rPr>
                <w:rFonts w:ascii="Arial" w:eastAsia="Times New Roman" w:hAnsi="Arial" w:cs="Arial"/>
                <w:color w:val="538135" w:themeColor="accent6" w:themeShade="BF"/>
                <w:sz w:val="20"/>
                <w:szCs w:val="20"/>
                <w:lang w:eastAsia="et-EE"/>
              </w:rPr>
              <w:t xml:space="preserve"> punkti</w:t>
            </w:r>
          </w:p>
          <w:p w14:paraId="49E0909C" w14:textId="77777777" w:rsidR="00BC780A" w:rsidRDefault="00BC780A" w:rsidP="0013726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sidRPr="00EB00F4">
              <w:rPr>
                <w:rFonts w:ascii="Arial" w:eastAsia="Times New Roman" w:hAnsi="Arial" w:cs="Arial"/>
                <w:color w:val="538135" w:themeColor="accent6" w:themeShade="BF"/>
                <w:sz w:val="20"/>
                <w:szCs w:val="20"/>
                <w:lang w:eastAsia="et-EE"/>
              </w:rPr>
              <w:t>Projekti seos Eesti pikaajalise arengustrateegia aluspõhimõtete ja sihtidega ei ole selgelt ja üheselt mõistetav.</w:t>
            </w:r>
          </w:p>
          <w:p w14:paraId="4718875D" w14:textId="21BD3F06" w:rsidR="00BC780A" w:rsidRPr="00E735E3" w:rsidRDefault="00BC780A" w:rsidP="0013726A">
            <w:pPr>
              <w:pStyle w:val="Loendilik"/>
              <w:numPr>
                <w:ilvl w:val="0"/>
                <w:numId w:val="15"/>
              </w:numPr>
              <w:rPr>
                <w:rFonts w:ascii="Arial" w:eastAsia="Times New Roman" w:hAnsi="Arial" w:cs="Arial"/>
                <w:color w:val="538135" w:themeColor="accent6" w:themeShade="BF"/>
                <w:sz w:val="20"/>
                <w:szCs w:val="20"/>
                <w:lang w:eastAsia="et-EE"/>
              </w:rPr>
            </w:pPr>
            <w:r w:rsidRPr="00E735E3">
              <w:rPr>
                <w:rFonts w:ascii="Arial" w:eastAsia="Times New Roman" w:hAnsi="Arial" w:cs="Arial"/>
                <w:color w:val="538135" w:themeColor="accent6" w:themeShade="BF"/>
                <w:sz w:val="20"/>
                <w:szCs w:val="20"/>
                <w:lang w:eastAsia="et-EE"/>
              </w:rPr>
              <w:t xml:space="preserve">Projekti tegevuste kavandamisel on </w:t>
            </w:r>
            <w:r>
              <w:rPr>
                <w:rFonts w:ascii="Arial" w:eastAsia="Times New Roman" w:hAnsi="Arial" w:cs="Arial"/>
                <w:color w:val="538135" w:themeColor="accent6" w:themeShade="BF"/>
                <w:sz w:val="20"/>
                <w:szCs w:val="20"/>
                <w:lang w:eastAsia="et-EE"/>
              </w:rPr>
              <w:t xml:space="preserve">osaliselt </w:t>
            </w:r>
            <w:r w:rsidRPr="00E735E3">
              <w:rPr>
                <w:rFonts w:ascii="Arial" w:eastAsia="Times New Roman" w:hAnsi="Arial" w:cs="Arial"/>
                <w:color w:val="538135" w:themeColor="accent6" w:themeShade="BF"/>
                <w:sz w:val="20"/>
                <w:szCs w:val="20"/>
                <w:lang w:eastAsia="et-EE"/>
              </w:rPr>
              <w:t xml:space="preserve">analüüsitud eri vanuses, erineva emakeelega, erivajadusega </w:t>
            </w:r>
            <w:r w:rsidR="0090334A">
              <w:rPr>
                <w:rFonts w:ascii="Arial" w:eastAsia="Times New Roman" w:hAnsi="Arial" w:cs="Arial"/>
                <w:color w:val="538135" w:themeColor="accent6" w:themeShade="BF"/>
                <w:sz w:val="20"/>
                <w:szCs w:val="20"/>
                <w:lang w:eastAsia="et-EE"/>
              </w:rPr>
              <w:t>inimeste</w:t>
            </w:r>
            <w:r w:rsidR="0090334A" w:rsidRPr="00E735E3">
              <w:rPr>
                <w:rFonts w:ascii="Arial" w:eastAsia="Times New Roman" w:hAnsi="Arial" w:cs="Arial"/>
                <w:color w:val="538135" w:themeColor="accent6" w:themeShade="BF"/>
                <w:sz w:val="20"/>
                <w:szCs w:val="20"/>
                <w:lang w:eastAsia="et-EE"/>
              </w:rPr>
              <w:t xml:space="preserve"> </w:t>
            </w:r>
            <w:r w:rsidRPr="00E735E3">
              <w:rPr>
                <w:rFonts w:ascii="Arial" w:eastAsia="Times New Roman" w:hAnsi="Arial" w:cs="Arial"/>
                <w:color w:val="538135" w:themeColor="accent6" w:themeShade="BF"/>
                <w:sz w:val="20"/>
                <w:szCs w:val="20"/>
                <w:lang w:eastAsia="et-EE"/>
              </w:rPr>
              <w:t xml:space="preserve">olukorda ja võimalusi tööturul ja kavandatud </w:t>
            </w:r>
            <w:r>
              <w:rPr>
                <w:rFonts w:ascii="Arial" w:eastAsia="Times New Roman" w:hAnsi="Arial" w:cs="Arial"/>
                <w:color w:val="538135" w:themeColor="accent6" w:themeShade="BF"/>
                <w:sz w:val="20"/>
                <w:szCs w:val="20"/>
                <w:lang w:eastAsia="et-EE"/>
              </w:rPr>
              <w:t xml:space="preserve">mõningaid </w:t>
            </w:r>
            <w:r w:rsidRPr="00E735E3">
              <w:rPr>
                <w:rFonts w:ascii="Arial" w:eastAsia="Times New Roman" w:hAnsi="Arial" w:cs="Arial"/>
                <w:color w:val="538135" w:themeColor="accent6" w:themeShade="BF"/>
                <w:sz w:val="20"/>
                <w:szCs w:val="20"/>
                <w:lang w:eastAsia="et-EE"/>
              </w:rPr>
              <w:t>tegevusi nende takistuste kõrvaldamiseks, mis ei võimalda neil teistega samadel alustel tööturul konkureerida</w:t>
            </w:r>
            <w:r>
              <w:rPr>
                <w:rFonts w:ascii="Arial" w:eastAsia="Times New Roman" w:hAnsi="Arial" w:cs="Arial"/>
                <w:color w:val="538135" w:themeColor="accent6" w:themeShade="BF"/>
                <w:sz w:val="20"/>
                <w:szCs w:val="20"/>
                <w:lang w:eastAsia="et-EE"/>
              </w:rPr>
              <w:t>.</w:t>
            </w:r>
          </w:p>
          <w:p w14:paraId="130DDAB2" w14:textId="77777777" w:rsidR="00BC780A" w:rsidRDefault="00BC780A" w:rsidP="0013726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sidRPr="00E735E3">
              <w:rPr>
                <w:rFonts w:ascii="Arial" w:eastAsia="Times New Roman" w:hAnsi="Arial" w:cs="Arial"/>
                <w:color w:val="538135" w:themeColor="accent6" w:themeShade="BF"/>
                <w:sz w:val="20"/>
                <w:szCs w:val="20"/>
                <w:lang w:eastAsia="et-EE"/>
              </w:rPr>
              <w:t xml:space="preserve">Tegevusi, millega panustatakse vähemusrühmadele võrdsete võimaluste tagamisse </w:t>
            </w:r>
            <w:r>
              <w:rPr>
                <w:rFonts w:ascii="Arial" w:eastAsia="Times New Roman" w:hAnsi="Arial" w:cs="Arial"/>
                <w:color w:val="538135" w:themeColor="accent6" w:themeShade="BF"/>
                <w:sz w:val="20"/>
                <w:szCs w:val="20"/>
                <w:lang w:eastAsia="et-EE"/>
              </w:rPr>
              <w:t>ei ole</w:t>
            </w:r>
            <w:r w:rsidRPr="00E735E3">
              <w:rPr>
                <w:rFonts w:ascii="Arial" w:eastAsia="Times New Roman" w:hAnsi="Arial" w:cs="Arial"/>
                <w:color w:val="538135" w:themeColor="accent6" w:themeShade="BF"/>
                <w:sz w:val="20"/>
                <w:szCs w:val="20"/>
                <w:lang w:eastAsia="et-EE"/>
              </w:rPr>
              <w:t xml:space="preserve"> taotlusvormis selgelt ja arusaadavalt kirjeldatud</w:t>
            </w:r>
            <w:r>
              <w:rPr>
                <w:rFonts w:ascii="Arial" w:eastAsia="Times New Roman" w:hAnsi="Arial" w:cs="Arial"/>
                <w:color w:val="538135" w:themeColor="accent6" w:themeShade="BF"/>
                <w:sz w:val="20"/>
                <w:szCs w:val="20"/>
                <w:lang w:eastAsia="et-EE"/>
              </w:rPr>
              <w:t>.</w:t>
            </w:r>
          </w:p>
          <w:p w14:paraId="1FBBBB44" w14:textId="65801F05" w:rsidR="0090334A" w:rsidRPr="003217B7" w:rsidRDefault="0090334A" w:rsidP="0090334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 xml:space="preserve">Tegevusi, millega panustatakse soolise võrdõiguslikkuse edendamisse ei ole taotlusvormis selgelt ja arusaadavalt kirjeldatud. </w:t>
            </w:r>
          </w:p>
          <w:p w14:paraId="6C706160" w14:textId="48704488" w:rsidR="0013726A" w:rsidRPr="003217B7" w:rsidRDefault="0013726A" w:rsidP="0013726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Tegevusi, millega panustatakse ligipääsetavuse tagamisse ei ole taotlusvormis selgelt ja arusaadavalt kirjeldatud</w:t>
            </w:r>
            <w:r>
              <w:rPr>
                <w:rFonts w:ascii="Arial" w:eastAsia="Times New Roman" w:hAnsi="Arial" w:cs="Arial"/>
                <w:color w:val="538135" w:themeColor="accent6" w:themeShade="BF"/>
                <w:sz w:val="20"/>
                <w:szCs w:val="20"/>
                <w:lang w:eastAsia="et-EE"/>
              </w:rPr>
              <w:t>.</w:t>
            </w:r>
          </w:p>
          <w:p w14:paraId="1B3672D6" w14:textId="77777777" w:rsidR="0090334A" w:rsidRDefault="0090334A" w:rsidP="00E570AE">
            <w:pPr>
              <w:spacing w:after="0" w:line="240" w:lineRule="auto"/>
              <w:jc w:val="both"/>
              <w:rPr>
                <w:rFonts w:ascii="Arial" w:eastAsia="Times New Roman" w:hAnsi="Arial" w:cs="Arial"/>
                <w:color w:val="538135" w:themeColor="accent6" w:themeShade="BF"/>
                <w:sz w:val="20"/>
                <w:szCs w:val="20"/>
                <w:lang w:eastAsia="et-EE"/>
              </w:rPr>
            </w:pPr>
          </w:p>
          <w:p w14:paraId="158BA553" w14:textId="4434087D" w:rsidR="00BC780A" w:rsidRDefault="00BC780A" w:rsidP="00E570AE">
            <w:p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0 punkti</w:t>
            </w:r>
          </w:p>
          <w:p w14:paraId="29521FA5" w14:textId="77777777" w:rsidR="00BC780A" w:rsidRDefault="00BC780A" w:rsidP="0013726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sidRPr="00EB00F4">
              <w:rPr>
                <w:rFonts w:ascii="Arial" w:eastAsia="Times New Roman" w:hAnsi="Arial" w:cs="Arial"/>
                <w:color w:val="538135" w:themeColor="accent6" w:themeShade="BF"/>
                <w:sz w:val="20"/>
                <w:szCs w:val="20"/>
                <w:lang w:eastAsia="et-EE"/>
              </w:rPr>
              <w:t>Projekti seost Eesti pikaajalise arengustrateegia aluspõhimõtete ja sihtidega ei ole kirjeldatud</w:t>
            </w:r>
            <w:r>
              <w:rPr>
                <w:rFonts w:ascii="Arial" w:eastAsia="Times New Roman" w:hAnsi="Arial" w:cs="Arial"/>
                <w:color w:val="538135" w:themeColor="accent6" w:themeShade="BF"/>
                <w:sz w:val="20"/>
                <w:szCs w:val="20"/>
                <w:lang w:eastAsia="et-EE"/>
              </w:rPr>
              <w:t>.</w:t>
            </w:r>
          </w:p>
          <w:p w14:paraId="5C419B78" w14:textId="029E3569" w:rsidR="00BC780A" w:rsidRDefault="00BC780A" w:rsidP="0013726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sidRPr="008D354B">
              <w:rPr>
                <w:rFonts w:ascii="Arial" w:eastAsia="Times New Roman" w:hAnsi="Arial" w:cs="Arial"/>
                <w:color w:val="538135" w:themeColor="accent6" w:themeShade="BF"/>
                <w:sz w:val="20"/>
                <w:szCs w:val="20"/>
                <w:lang w:eastAsia="et-EE"/>
              </w:rPr>
              <w:t xml:space="preserve">Projekti tegevuste kavandamisel ei ole analüüsitud eri vanuses, erineva emakeelega, erivajadusega </w:t>
            </w:r>
            <w:r w:rsidR="0090334A">
              <w:rPr>
                <w:rFonts w:ascii="Arial" w:eastAsia="Times New Roman" w:hAnsi="Arial" w:cs="Arial"/>
                <w:color w:val="538135" w:themeColor="accent6" w:themeShade="BF"/>
                <w:sz w:val="20"/>
                <w:szCs w:val="20"/>
                <w:lang w:eastAsia="et-EE"/>
              </w:rPr>
              <w:t>inimeste</w:t>
            </w:r>
            <w:r w:rsidR="0090334A" w:rsidRPr="008D354B">
              <w:rPr>
                <w:rFonts w:ascii="Arial" w:eastAsia="Times New Roman" w:hAnsi="Arial" w:cs="Arial"/>
                <w:color w:val="538135" w:themeColor="accent6" w:themeShade="BF"/>
                <w:sz w:val="20"/>
                <w:szCs w:val="20"/>
                <w:lang w:eastAsia="et-EE"/>
              </w:rPr>
              <w:t xml:space="preserve"> </w:t>
            </w:r>
            <w:r w:rsidRPr="008D354B">
              <w:rPr>
                <w:rFonts w:ascii="Arial" w:eastAsia="Times New Roman" w:hAnsi="Arial" w:cs="Arial"/>
                <w:color w:val="538135" w:themeColor="accent6" w:themeShade="BF"/>
                <w:sz w:val="20"/>
                <w:szCs w:val="20"/>
                <w:lang w:eastAsia="et-EE"/>
              </w:rPr>
              <w:t>olukorda ja võimalusi tööturul ja ei ole kavandatud tegevusi nende takistuste kõrvaldamiseks, mis ei võimalda neil teistega samadel alustel tööturul konkureerida.</w:t>
            </w:r>
          </w:p>
          <w:p w14:paraId="1C1298D4" w14:textId="19502D38" w:rsidR="0090334A" w:rsidRPr="003217B7" w:rsidRDefault="0090334A" w:rsidP="0090334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 xml:space="preserve">Tegevusi, millega panustatakse soolise võrdõiguslikkuse edendamisse ei ole taotlusvormis kirjeldatud. </w:t>
            </w:r>
          </w:p>
          <w:p w14:paraId="6B7609A6" w14:textId="11E5F86D" w:rsidR="0013726A" w:rsidRPr="008D354B" w:rsidRDefault="0013726A" w:rsidP="0013726A">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Tegevusi, millega panustatakse ligipääsetavuse tagamisse ei ole taotlusvormis kirjeldatud.</w:t>
            </w:r>
          </w:p>
          <w:p w14:paraId="739B7BC3" w14:textId="30860166" w:rsidR="00BC780A" w:rsidRPr="00AD7666" w:rsidRDefault="00BC780A" w:rsidP="00482F50">
            <w:pPr>
              <w:pStyle w:val="Loendilik"/>
              <w:spacing w:after="0" w:line="240" w:lineRule="auto"/>
              <w:jc w:val="both"/>
              <w:rPr>
                <w:rFonts w:ascii="Arial" w:eastAsia="Times New Roman" w:hAnsi="Arial" w:cs="Arial"/>
                <w:b/>
                <w:bCs/>
                <w:color w:val="538135" w:themeColor="accent6" w:themeShade="BF"/>
                <w:sz w:val="20"/>
                <w:szCs w:val="20"/>
                <w:lang w:eastAsia="et-E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EE7DF5A" w14:textId="5D45A36C" w:rsidR="00BC780A" w:rsidRPr="00C86B37" w:rsidRDefault="0013726A" w:rsidP="00C86B37">
            <w:pPr>
              <w:spacing w:after="0" w:line="240" w:lineRule="auto"/>
              <w:jc w:val="center"/>
              <w:rPr>
                <w:rFonts w:ascii="Arial" w:eastAsia="Times New Roman" w:hAnsi="Arial" w:cs="Arial"/>
                <w:b/>
                <w:bCs/>
                <w:sz w:val="20"/>
                <w:szCs w:val="20"/>
                <w:lang w:eastAsia="et-EE"/>
              </w:rPr>
            </w:pPr>
            <w:r>
              <w:rPr>
                <w:rFonts w:ascii="Arial" w:eastAsia="Times New Roman" w:hAnsi="Arial" w:cs="Arial"/>
                <w:b/>
                <w:bCs/>
                <w:sz w:val="20"/>
                <w:szCs w:val="20"/>
                <w:lang w:eastAsia="et-EE"/>
              </w:rPr>
              <w:lastRenderedPageBreak/>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10704EBF"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767F9348" w14:textId="77777777" w:rsidTr="00BC780A">
        <w:trPr>
          <w:trHeight w:val="300"/>
        </w:trPr>
        <w:tc>
          <w:tcPr>
            <w:tcW w:w="6379" w:type="dxa"/>
            <w:tcBorders>
              <w:top w:val="nil"/>
              <w:left w:val="single" w:sz="4" w:space="0" w:color="000000"/>
              <w:bottom w:val="single" w:sz="4" w:space="0" w:color="000000"/>
              <w:right w:val="single" w:sz="4" w:space="0" w:color="auto"/>
            </w:tcBorders>
            <w:shd w:val="clear" w:color="auto" w:fill="auto"/>
            <w:vAlign w:val="center"/>
            <w:hideMark/>
          </w:tcPr>
          <w:p w14:paraId="7FFF33C7"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Maksimaalne üldhinne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25838" w14:textId="2F73227E" w:rsidR="00BC780A" w:rsidRPr="00356C07" w:rsidRDefault="00BC780A" w:rsidP="00356C07">
            <w:pPr>
              <w:spacing w:after="0" w:line="240" w:lineRule="auto"/>
              <w:jc w:val="center"/>
              <w:rPr>
                <w:rFonts w:ascii="Arial" w:eastAsia="Times New Roman" w:hAnsi="Arial" w:cs="Arial"/>
                <w:b/>
                <w:bCs/>
                <w:color w:val="000000"/>
                <w:sz w:val="20"/>
                <w:szCs w:val="20"/>
                <w:lang w:eastAsia="et-EE"/>
              </w:rPr>
            </w:pPr>
            <w:r>
              <w:rPr>
                <w:rFonts w:ascii="Arial" w:eastAsia="Times New Roman" w:hAnsi="Arial" w:cs="Arial"/>
                <w:b/>
                <w:bCs/>
                <w:color w:val="000000"/>
                <w:sz w:val="20"/>
                <w:szCs w:val="20"/>
                <w:lang w:eastAsia="et-EE"/>
              </w:rPr>
              <w:t>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F5128" w14:textId="4DB30686" w:rsidR="00BC780A" w:rsidRPr="00AD7666" w:rsidRDefault="00BC780A" w:rsidP="00356C07">
            <w:pPr>
              <w:spacing w:after="0" w:line="240" w:lineRule="auto"/>
              <w:jc w:val="both"/>
              <w:rPr>
                <w:rFonts w:ascii="Arial" w:eastAsia="Times New Roman" w:hAnsi="Arial" w:cs="Arial"/>
                <w:b/>
                <w:bCs/>
                <w:color w:val="000000"/>
                <w:sz w:val="20"/>
                <w:szCs w:val="20"/>
                <w:lang w:eastAsia="et-EE"/>
              </w:rPr>
            </w:pPr>
          </w:p>
        </w:tc>
      </w:tr>
    </w:tbl>
    <w:p w14:paraId="6684C222" w14:textId="77777777" w:rsidR="002E0E7F" w:rsidRDefault="002E0E7F" w:rsidP="002E0E7F">
      <w:pPr>
        <w:spacing w:after="0" w:line="240" w:lineRule="auto"/>
        <w:jc w:val="both"/>
        <w:rPr>
          <w:rFonts w:ascii="Arial" w:eastAsia="Times New Roman" w:hAnsi="Arial" w:cs="Arial"/>
          <w:b/>
          <w:bCs/>
          <w:sz w:val="20"/>
          <w:szCs w:val="20"/>
          <w:lang w:eastAsia="et-EE"/>
        </w:rPr>
      </w:pPr>
    </w:p>
    <w:tbl>
      <w:tblPr>
        <w:tblStyle w:val="Kontuurtabel"/>
        <w:tblW w:w="9209" w:type="dxa"/>
        <w:tblLook w:val="04A0" w:firstRow="1" w:lastRow="0" w:firstColumn="1" w:lastColumn="0" w:noHBand="0" w:noVBand="1"/>
      </w:tblPr>
      <w:tblGrid>
        <w:gridCol w:w="9209"/>
      </w:tblGrid>
      <w:tr w:rsidR="002E0E7F" w14:paraId="2774CDC3" w14:textId="77777777" w:rsidTr="002E0E7F">
        <w:tc>
          <w:tcPr>
            <w:tcW w:w="9209" w:type="dxa"/>
          </w:tcPr>
          <w:p w14:paraId="4C8AFC66" w14:textId="77777777" w:rsidR="002E0E7F" w:rsidRDefault="002E0E7F" w:rsidP="002E0E7F">
            <w:pPr>
              <w:jc w:val="both"/>
              <w:rPr>
                <w:rFonts w:ascii="Arial" w:eastAsia="Times New Roman" w:hAnsi="Arial" w:cs="Arial"/>
                <w:b/>
                <w:bCs/>
                <w:sz w:val="20"/>
                <w:szCs w:val="20"/>
                <w:lang w:eastAsia="et-EE"/>
              </w:rPr>
            </w:pPr>
            <w:r>
              <w:rPr>
                <w:rFonts w:ascii="Arial" w:eastAsia="Times New Roman" w:hAnsi="Arial" w:cs="Arial"/>
                <w:b/>
                <w:bCs/>
                <w:sz w:val="20"/>
                <w:szCs w:val="20"/>
                <w:lang w:eastAsia="et-EE"/>
              </w:rPr>
              <w:t xml:space="preserve">Ettepanek </w:t>
            </w:r>
            <w:r>
              <w:rPr>
                <w:rStyle w:val="Allmrkuseviide"/>
                <w:rFonts w:ascii="Arial" w:eastAsia="Times New Roman" w:hAnsi="Arial" w:cs="Arial"/>
                <w:b/>
                <w:bCs/>
                <w:sz w:val="20"/>
                <w:szCs w:val="20"/>
                <w:lang w:eastAsia="et-EE"/>
              </w:rPr>
              <w:footnoteReference w:id="2"/>
            </w:r>
          </w:p>
          <w:p w14:paraId="0B01AC46" w14:textId="77777777" w:rsidR="002E0E7F" w:rsidRDefault="002E0E7F" w:rsidP="002E0E7F">
            <w:pPr>
              <w:jc w:val="both"/>
              <w:rPr>
                <w:rFonts w:ascii="Arial" w:eastAsia="Times New Roman" w:hAnsi="Arial" w:cs="Arial"/>
                <w:b/>
                <w:bCs/>
                <w:sz w:val="20"/>
                <w:szCs w:val="20"/>
                <w:lang w:eastAsia="et-EE"/>
              </w:rPr>
            </w:pPr>
          </w:p>
          <w:p w14:paraId="5A3ABD63" w14:textId="77777777" w:rsidR="002E0E7F" w:rsidRPr="009D5D4C" w:rsidRDefault="002E0E7F" w:rsidP="002E0E7F">
            <w:pPr>
              <w:ind w:left="720"/>
              <w:jc w:val="both"/>
              <w:rPr>
                <w:rFonts w:ascii="Arial" w:hAnsi="Arial" w:cs="Arial"/>
                <w:color w:val="000000"/>
                <w:sz w:val="20"/>
                <w:szCs w:val="20"/>
              </w:rPr>
            </w:pPr>
            <w:r w:rsidRPr="004455E6">
              <w:rPr>
                <w:rFonts w:ascii="Arial" w:hAnsi="Arial" w:cs="Arial"/>
                <w:color w:val="000000"/>
              </w:rPr>
              <w:fldChar w:fldCharType="begin">
                <w:ffData>
                  <w:name w:val=""/>
                  <w:enabled/>
                  <w:calcOnExit w:val="0"/>
                  <w:checkBox>
                    <w:sizeAuto/>
                    <w:default w:val="0"/>
                  </w:checkBox>
                </w:ffData>
              </w:fldChar>
            </w:r>
            <w:r w:rsidRPr="004455E6">
              <w:rPr>
                <w:rFonts w:ascii="Arial" w:hAnsi="Arial" w:cs="Arial"/>
                <w:color w:val="000000"/>
              </w:rPr>
              <w:instrText xml:space="preserve"> FORMCHECKBOX </w:instrText>
            </w:r>
            <w:r w:rsidR="00EC51C9">
              <w:rPr>
                <w:rFonts w:ascii="Arial" w:hAnsi="Arial" w:cs="Arial"/>
                <w:color w:val="000000"/>
              </w:rPr>
            </w:r>
            <w:r w:rsidR="00EC51C9">
              <w:rPr>
                <w:rFonts w:ascii="Arial" w:hAnsi="Arial" w:cs="Arial"/>
                <w:color w:val="000000"/>
              </w:rPr>
              <w:fldChar w:fldCharType="separate"/>
            </w:r>
            <w:r w:rsidRPr="004455E6">
              <w:rPr>
                <w:rFonts w:ascii="Arial" w:hAnsi="Arial" w:cs="Arial"/>
                <w:color w:val="000000"/>
              </w:rPr>
              <w:fldChar w:fldCharType="end"/>
            </w:r>
            <w:r>
              <w:rPr>
                <w:rFonts w:ascii="Arial" w:hAnsi="Arial" w:cs="Arial"/>
                <w:color w:val="000000"/>
              </w:rPr>
              <w:t xml:space="preserve"> </w:t>
            </w:r>
            <w:r w:rsidRPr="009D5D4C">
              <w:rPr>
                <w:rFonts w:ascii="Arial" w:hAnsi="Arial" w:cs="Arial"/>
                <w:color w:val="000000"/>
                <w:sz w:val="20"/>
                <w:szCs w:val="20"/>
              </w:rPr>
              <w:t xml:space="preserve">rahuldada taotlus osalises mahus; </w:t>
            </w:r>
          </w:p>
          <w:p w14:paraId="1A807581" w14:textId="77777777" w:rsidR="002E0E7F" w:rsidRPr="009D5D4C" w:rsidRDefault="002E0E7F" w:rsidP="002E0E7F">
            <w:pPr>
              <w:jc w:val="both"/>
              <w:rPr>
                <w:rFonts w:ascii="Arial" w:hAnsi="Arial" w:cs="Arial"/>
                <w:color w:val="000000"/>
                <w:sz w:val="20"/>
                <w:szCs w:val="20"/>
              </w:rPr>
            </w:pPr>
            <w:r w:rsidRPr="009D5D4C">
              <w:rPr>
                <w:rFonts w:ascii="Arial" w:hAnsi="Arial" w:cs="Arial"/>
                <w:color w:val="000000"/>
                <w:sz w:val="20"/>
                <w:szCs w:val="20"/>
              </w:rPr>
              <w:t xml:space="preserve">Ettepaneku põhjendus: </w:t>
            </w:r>
          </w:p>
          <w:p w14:paraId="4D2896FA" w14:textId="77777777" w:rsidR="002E0E7F" w:rsidRDefault="002E0E7F" w:rsidP="002E0E7F">
            <w:pPr>
              <w:ind w:left="720"/>
              <w:jc w:val="both"/>
              <w:rPr>
                <w:rFonts w:ascii="Arial" w:hAnsi="Arial" w:cs="Arial"/>
                <w:color w:val="000000"/>
                <w:sz w:val="20"/>
                <w:szCs w:val="20"/>
              </w:rPr>
            </w:pPr>
          </w:p>
          <w:p w14:paraId="2934C8BE" w14:textId="77777777" w:rsidR="002E0E7F" w:rsidRPr="009D5D4C" w:rsidRDefault="002E0E7F" w:rsidP="002E0E7F">
            <w:pPr>
              <w:ind w:left="720"/>
              <w:jc w:val="both"/>
              <w:rPr>
                <w:rFonts w:ascii="Arial" w:hAnsi="Arial" w:cs="Arial"/>
                <w:color w:val="000000"/>
                <w:sz w:val="20"/>
                <w:szCs w:val="20"/>
              </w:rPr>
            </w:pPr>
          </w:p>
          <w:p w14:paraId="6905E548" w14:textId="77777777" w:rsidR="002E0E7F" w:rsidRPr="009D5D4C" w:rsidRDefault="002E0E7F" w:rsidP="002E0E7F">
            <w:pPr>
              <w:ind w:left="720"/>
              <w:jc w:val="both"/>
              <w:rPr>
                <w:rFonts w:ascii="Arial" w:eastAsia="Times New Roman" w:hAnsi="Arial" w:cs="Arial"/>
                <w:b/>
                <w:bCs/>
                <w:sz w:val="20"/>
                <w:szCs w:val="20"/>
                <w:lang w:eastAsia="et-EE"/>
              </w:rPr>
            </w:pPr>
            <w:r w:rsidRPr="009D5D4C">
              <w:rPr>
                <w:rFonts w:ascii="Arial" w:hAnsi="Arial" w:cs="Arial"/>
                <w:color w:val="000000"/>
                <w:sz w:val="20"/>
                <w:szCs w:val="20"/>
              </w:rPr>
              <w:fldChar w:fldCharType="begin">
                <w:ffData>
                  <w:name w:val=""/>
                  <w:enabled/>
                  <w:calcOnExit w:val="0"/>
                  <w:checkBox>
                    <w:sizeAuto/>
                    <w:default w:val="0"/>
                  </w:checkBox>
                </w:ffData>
              </w:fldChar>
            </w:r>
            <w:r w:rsidRPr="009D5D4C">
              <w:rPr>
                <w:rFonts w:ascii="Arial" w:hAnsi="Arial" w:cs="Arial"/>
                <w:color w:val="000000"/>
                <w:sz w:val="20"/>
                <w:szCs w:val="20"/>
              </w:rPr>
              <w:instrText xml:space="preserve"> FORMCHECKBOX </w:instrText>
            </w:r>
            <w:r w:rsidR="00EC51C9">
              <w:rPr>
                <w:rFonts w:ascii="Arial" w:hAnsi="Arial" w:cs="Arial"/>
                <w:color w:val="000000"/>
                <w:sz w:val="20"/>
                <w:szCs w:val="20"/>
              </w:rPr>
            </w:r>
            <w:r w:rsidR="00EC51C9">
              <w:rPr>
                <w:rFonts w:ascii="Arial" w:hAnsi="Arial" w:cs="Arial"/>
                <w:color w:val="000000"/>
                <w:sz w:val="20"/>
                <w:szCs w:val="20"/>
              </w:rPr>
              <w:fldChar w:fldCharType="separate"/>
            </w:r>
            <w:r w:rsidRPr="009D5D4C">
              <w:rPr>
                <w:rFonts w:ascii="Arial" w:hAnsi="Arial" w:cs="Arial"/>
                <w:color w:val="000000"/>
                <w:sz w:val="20"/>
                <w:szCs w:val="20"/>
              </w:rPr>
              <w:fldChar w:fldCharType="end"/>
            </w:r>
            <w:r w:rsidRPr="009D5D4C">
              <w:rPr>
                <w:rFonts w:ascii="Arial" w:hAnsi="Arial" w:cs="Arial"/>
                <w:color w:val="000000"/>
                <w:sz w:val="20"/>
                <w:szCs w:val="20"/>
              </w:rPr>
              <w:t xml:space="preserve"> rahuldada taotlus taotletud mahus.</w:t>
            </w:r>
          </w:p>
          <w:p w14:paraId="2239E734" w14:textId="77777777" w:rsidR="002E0E7F" w:rsidRPr="009D5D4C" w:rsidRDefault="002E0E7F" w:rsidP="002E0E7F">
            <w:pPr>
              <w:jc w:val="both"/>
              <w:rPr>
                <w:rFonts w:ascii="Arial" w:hAnsi="Arial" w:cs="Arial"/>
                <w:color w:val="000000"/>
                <w:sz w:val="20"/>
                <w:szCs w:val="20"/>
              </w:rPr>
            </w:pPr>
            <w:r w:rsidRPr="009D5D4C">
              <w:rPr>
                <w:rFonts w:ascii="Arial" w:hAnsi="Arial" w:cs="Arial"/>
                <w:color w:val="000000"/>
                <w:sz w:val="20"/>
                <w:szCs w:val="20"/>
              </w:rPr>
              <w:t>Ettepaneku põhjendus</w:t>
            </w:r>
            <w:r w:rsidRPr="009D5D4C">
              <w:rPr>
                <w:rStyle w:val="Allmrkuseviide"/>
                <w:rFonts w:ascii="Arial" w:hAnsi="Arial" w:cs="Arial"/>
                <w:color w:val="000000"/>
                <w:sz w:val="20"/>
                <w:szCs w:val="20"/>
              </w:rPr>
              <w:footnoteReference w:id="3"/>
            </w:r>
            <w:r w:rsidRPr="009D5D4C">
              <w:rPr>
                <w:rFonts w:ascii="Arial" w:hAnsi="Arial" w:cs="Arial"/>
                <w:color w:val="000000"/>
                <w:sz w:val="20"/>
                <w:szCs w:val="20"/>
              </w:rPr>
              <w:t xml:space="preserve">: </w:t>
            </w:r>
          </w:p>
          <w:p w14:paraId="1E919875" w14:textId="77777777" w:rsidR="002E0E7F" w:rsidRDefault="002E0E7F" w:rsidP="002E0E7F">
            <w:pPr>
              <w:jc w:val="both"/>
              <w:rPr>
                <w:rFonts w:ascii="Arial" w:eastAsia="Times New Roman" w:hAnsi="Arial" w:cs="Arial"/>
                <w:b/>
                <w:bCs/>
                <w:sz w:val="20"/>
                <w:szCs w:val="20"/>
                <w:lang w:eastAsia="et-EE"/>
              </w:rPr>
            </w:pPr>
          </w:p>
          <w:p w14:paraId="58CB6698" w14:textId="77777777" w:rsidR="002E0E7F" w:rsidRDefault="002E0E7F" w:rsidP="002E0E7F">
            <w:pPr>
              <w:jc w:val="both"/>
              <w:rPr>
                <w:rFonts w:ascii="Arial" w:eastAsia="Times New Roman" w:hAnsi="Arial" w:cs="Arial"/>
                <w:b/>
                <w:bCs/>
                <w:sz w:val="20"/>
                <w:szCs w:val="20"/>
                <w:lang w:eastAsia="et-EE"/>
              </w:rPr>
            </w:pPr>
          </w:p>
          <w:p w14:paraId="3EB38F6E" w14:textId="77777777" w:rsidR="002E0E7F" w:rsidRDefault="002E0E7F" w:rsidP="002E0E7F">
            <w:pPr>
              <w:jc w:val="both"/>
              <w:rPr>
                <w:rFonts w:ascii="Arial" w:eastAsia="Times New Roman" w:hAnsi="Arial" w:cs="Arial"/>
                <w:b/>
                <w:bCs/>
                <w:sz w:val="20"/>
                <w:szCs w:val="20"/>
                <w:lang w:eastAsia="et-EE"/>
              </w:rPr>
            </w:pPr>
          </w:p>
          <w:p w14:paraId="4ADA7F56" w14:textId="77777777" w:rsidR="002E0E7F" w:rsidRDefault="002E0E7F" w:rsidP="002E0E7F">
            <w:pPr>
              <w:jc w:val="both"/>
              <w:rPr>
                <w:rFonts w:ascii="Arial" w:eastAsia="Times New Roman" w:hAnsi="Arial" w:cs="Arial"/>
                <w:b/>
                <w:bCs/>
                <w:sz w:val="20"/>
                <w:szCs w:val="20"/>
                <w:lang w:eastAsia="et-EE"/>
              </w:rPr>
            </w:pPr>
          </w:p>
          <w:p w14:paraId="1B77DAED" w14:textId="77777777" w:rsidR="002E0E7F" w:rsidRDefault="002E0E7F" w:rsidP="002E0E7F">
            <w:pPr>
              <w:jc w:val="both"/>
              <w:rPr>
                <w:rFonts w:ascii="Arial" w:eastAsia="Times New Roman" w:hAnsi="Arial" w:cs="Arial"/>
                <w:b/>
                <w:bCs/>
                <w:sz w:val="20"/>
                <w:szCs w:val="20"/>
                <w:lang w:eastAsia="et-EE"/>
              </w:rPr>
            </w:pPr>
          </w:p>
          <w:p w14:paraId="307F8742" w14:textId="3B53DDFC" w:rsidR="002E0E7F" w:rsidRDefault="002E0E7F" w:rsidP="002E0E7F">
            <w:pPr>
              <w:jc w:val="both"/>
              <w:rPr>
                <w:rFonts w:ascii="Arial" w:eastAsia="Times New Roman" w:hAnsi="Arial" w:cs="Arial"/>
                <w:b/>
                <w:bCs/>
                <w:sz w:val="20"/>
                <w:szCs w:val="20"/>
                <w:lang w:eastAsia="et-EE"/>
              </w:rPr>
            </w:pPr>
          </w:p>
        </w:tc>
      </w:tr>
    </w:tbl>
    <w:p w14:paraId="0E186E97" w14:textId="77777777" w:rsidR="002E0E7F" w:rsidRDefault="002E0E7F" w:rsidP="002E0E7F">
      <w:pPr>
        <w:spacing w:after="0" w:line="240" w:lineRule="auto"/>
        <w:jc w:val="both"/>
        <w:rPr>
          <w:rFonts w:ascii="Arial" w:eastAsia="Times New Roman" w:hAnsi="Arial" w:cs="Arial"/>
          <w:b/>
          <w:bCs/>
          <w:sz w:val="20"/>
          <w:szCs w:val="20"/>
          <w:lang w:eastAsia="et-EE"/>
        </w:rPr>
      </w:pPr>
    </w:p>
    <w:p w14:paraId="5D5C74DE" w14:textId="77777777" w:rsidR="0041370C" w:rsidRPr="00356C07" w:rsidRDefault="0041370C" w:rsidP="00356C07">
      <w:pPr>
        <w:jc w:val="both"/>
        <w:rPr>
          <w:rFonts w:ascii="Arial" w:hAnsi="Arial" w:cs="Arial"/>
          <w:sz w:val="20"/>
          <w:szCs w:val="20"/>
        </w:rPr>
      </w:pPr>
    </w:p>
    <w:sectPr w:rsidR="0041370C" w:rsidRPr="00356C07" w:rsidSect="008F1C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4103" w14:textId="77777777" w:rsidR="008F1C3C" w:rsidRDefault="008F1C3C" w:rsidP="00B923B7">
      <w:pPr>
        <w:spacing w:after="0" w:line="240" w:lineRule="auto"/>
      </w:pPr>
      <w:r>
        <w:separator/>
      </w:r>
    </w:p>
  </w:endnote>
  <w:endnote w:type="continuationSeparator" w:id="0">
    <w:p w14:paraId="10942C84" w14:textId="77777777" w:rsidR="008F1C3C" w:rsidRDefault="008F1C3C" w:rsidP="00B9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1DD5" w14:textId="77777777" w:rsidR="008F1C3C" w:rsidRDefault="008F1C3C" w:rsidP="00B923B7">
      <w:pPr>
        <w:spacing w:after="0" w:line="240" w:lineRule="auto"/>
      </w:pPr>
      <w:r>
        <w:separator/>
      </w:r>
    </w:p>
  </w:footnote>
  <w:footnote w:type="continuationSeparator" w:id="0">
    <w:p w14:paraId="6E70FF28" w14:textId="77777777" w:rsidR="008F1C3C" w:rsidRDefault="008F1C3C" w:rsidP="00B923B7">
      <w:pPr>
        <w:spacing w:after="0" w:line="240" w:lineRule="auto"/>
      </w:pPr>
      <w:r>
        <w:continuationSeparator/>
      </w:r>
    </w:p>
  </w:footnote>
  <w:footnote w:id="1">
    <w:p w14:paraId="137C5C29" w14:textId="676A39AC" w:rsidR="00BC780A" w:rsidRDefault="00BC780A" w:rsidP="0076047C">
      <w:pPr>
        <w:pStyle w:val="Allmrkusetekst"/>
      </w:pPr>
      <w:r>
        <w:rPr>
          <w:rStyle w:val="Allmrkuseviide"/>
        </w:rPr>
        <w:footnoteRef/>
      </w:r>
      <w:r>
        <w:t xml:space="preserve"> Juhul, kui kõik kõrgema hindepunkti eeldused ei ole täidetud, antakse madalam hindepunkt.</w:t>
      </w:r>
    </w:p>
  </w:footnote>
  <w:footnote w:id="2">
    <w:p w14:paraId="22678CE2" w14:textId="77777777" w:rsidR="002E0E7F" w:rsidRDefault="002E0E7F" w:rsidP="002E0E7F">
      <w:pPr>
        <w:pStyle w:val="Allmrkusetekst"/>
      </w:pPr>
      <w:r>
        <w:rPr>
          <w:rStyle w:val="Allmrkuseviide"/>
        </w:rPr>
        <w:footnoteRef/>
      </w:r>
      <w:r>
        <w:t xml:space="preserve"> </w:t>
      </w:r>
      <w:r w:rsidRPr="0082528E">
        <w:rPr>
          <w:rFonts w:ascii="Arial" w:hAnsi="Arial" w:cs="Arial"/>
          <w:sz w:val="16"/>
          <w:szCs w:val="16"/>
        </w:rPr>
        <w:t xml:space="preserve">Lahter täidetakse juhul, kui maksimaalne üldhinne on </w:t>
      </w:r>
      <w:r>
        <w:rPr>
          <w:rFonts w:ascii="Arial" w:hAnsi="Arial" w:cs="Arial"/>
          <w:sz w:val="16"/>
          <w:szCs w:val="16"/>
        </w:rPr>
        <w:t>19</w:t>
      </w:r>
      <w:r w:rsidRPr="0082528E">
        <w:rPr>
          <w:rFonts w:ascii="Arial" w:hAnsi="Arial" w:cs="Arial"/>
          <w:sz w:val="16"/>
          <w:szCs w:val="16"/>
        </w:rPr>
        <w:t xml:space="preserve"> punkti või rohkem</w:t>
      </w:r>
    </w:p>
  </w:footnote>
  <w:footnote w:id="3">
    <w:p w14:paraId="79948F84" w14:textId="77777777" w:rsidR="002E0E7F" w:rsidRPr="009D2C22" w:rsidRDefault="002E0E7F" w:rsidP="002E0E7F">
      <w:pPr>
        <w:pStyle w:val="Allmrkusetekst"/>
        <w:rPr>
          <w:rFonts w:ascii="Arial" w:hAnsi="Arial" w:cs="Arial"/>
          <w:sz w:val="16"/>
          <w:szCs w:val="16"/>
        </w:rPr>
      </w:pPr>
      <w:r>
        <w:rPr>
          <w:rStyle w:val="Allmrkuseviide"/>
        </w:rPr>
        <w:footnoteRef/>
      </w:r>
      <w:r>
        <w:t xml:space="preserve"> </w:t>
      </w:r>
      <w:r>
        <w:rPr>
          <w:rFonts w:ascii="Arial" w:hAnsi="Arial" w:cs="Arial"/>
          <w:sz w:val="16"/>
          <w:szCs w:val="16"/>
        </w:rPr>
        <w:t>Kasutatakse vajaduse täiendava ettepaneku tegemisel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3D44"/>
    <w:multiLevelType w:val="hybridMultilevel"/>
    <w:tmpl w:val="B87E35E0"/>
    <w:lvl w:ilvl="0" w:tplc="39A60F7E">
      <w:start w:val="3"/>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741FDE"/>
    <w:multiLevelType w:val="hybridMultilevel"/>
    <w:tmpl w:val="927AC2A4"/>
    <w:lvl w:ilvl="0" w:tplc="EA6CF172">
      <w:start w:val="1"/>
      <w:numFmt w:val="bullet"/>
      <w:lvlText w:val=""/>
      <w:lvlJc w:val="left"/>
      <w:pPr>
        <w:ind w:left="720" w:hanging="360"/>
      </w:pPr>
      <w:rPr>
        <w:rFonts w:ascii="Symbol" w:hAnsi="Symbol" w:hint="default"/>
      </w:rPr>
    </w:lvl>
    <w:lvl w:ilvl="1" w:tplc="3488C064">
      <w:start w:val="1"/>
      <w:numFmt w:val="bullet"/>
      <w:lvlText w:val="o"/>
      <w:lvlJc w:val="left"/>
      <w:pPr>
        <w:ind w:left="1440" w:hanging="360"/>
      </w:pPr>
      <w:rPr>
        <w:rFonts w:ascii="Courier New" w:hAnsi="Courier New" w:hint="default"/>
      </w:rPr>
    </w:lvl>
    <w:lvl w:ilvl="2" w:tplc="557268B6">
      <w:start w:val="1"/>
      <w:numFmt w:val="bullet"/>
      <w:lvlText w:val=""/>
      <w:lvlJc w:val="left"/>
      <w:pPr>
        <w:ind w:left="2160" w:hanging="360"/>
      </w:pPr>
      <w:rPr>
        <w:rFonts w:ascii="Wingdings" w:hAnsi="Wingdings" w:hint="default"/>
      </w:rPr>
    </w:lvl>
    <w:lvl w:ilvl="3" w:tplc="9A10E532">
      <w:start w:val="1"/>
      <w:numFmt w:val="bullet"/>
      <w:lvlText w:val=""/>
      <w:lvlJc w:val="left"/>
      <w:pPr>
        <w:ind w:left="2880" w:hanging="360"/>
      </w:pPr>
      <w:rPr>
        <w:rFonts w:ascii="Symbol" w:hAnsi="Symbol" w:hint="default"/>
      </w:rPr>
    </w:lvl>
    <w:lvl w:ilvl="4" w:tplc="4810EFB0">
      <w:start w:val="1"/>
      <w:numFmt w:val="bullet"/>
      <w:lvlText w:val="o"/>
      <w:lvlJc w:val="left"/>
      <w:pPr>
        <w:ind w:left="3600" w:hanging="360"/>
      </w:pPr>
      <w:rPr>
        <w:rFonts w:ascii="Courier New" w:hAnsi="Courier New" w:hint="default"/>
      </w:rPr>
    </w:lvl>
    <w:lvl w:ilvl="5" w:tplc="CE10C56A">
      <w:start w:val="1"/>
      <w:numFmt w:val="bullet"/>
      <w:lvlText w:val=""/>
      <w:lvlJc w:val="left"/>
      <w:pPr>
        <w:ind w:left="4320" w:hanging="360"/>
      </w:pPr>
      <w:rPr>
        <w:rFonts w:ascii="Wingdings" w:hAnsi="Wingdings" w:hint="default"/>
      </w:rPr>
    </w:lvl>
    <w:lvl w:ilvl="6" w:tplc="F770270A">
      <w:start w:val="1"/>
      <w:numFmt w:val="bullet"/>
      <w:lvlText w:val=""/>
      <w:lvlJc w:val="left"/>
      <w:pPr>
        <w:ind w:left="5040" w:hanging="360"/>
      </w:pPr>
      <w:rPr>
        <w:rFonts w:ascii="Symbol" w:hAnsi="Symbol" w:hint="default"/>
      </w:rPr>
    </w:lvl>
    <w:lvl w:ilvl="7" w:tplc="0090E39E">
      <w:start w:val="1"/>
      <w:numFmt w:val="bullet"/>
      <w:lvlText w:val="o"/>
      <w:lvlJc w:val="left"/>
      <w:pPr>
        <w:ind w:left="5760" w:hanging="360"/>
      </w:pPr>
      <w:rPr>
        <w:rFonts w:ascii="Courier New" w:hAnsi="Courier New" w:hint="default"/>
      </w:rPr>
    </w:lvl>
    <w:lvl w:ilvl="8" w:tplc="D48A693C">
      <w:start w:val="1"/>
      <w:numFmt w:val="bullet"/>
      <w:lvlText w:val=""/>
      <w:lvlJc w:val="left"/>
      <w:pPr>
        <w:ind w:left="6480" w:hanging="360"/>
      </w:pPr>
      <w:rPr>
        <w:rFonts w:ascii="Wingdings" w:hAnsi="Wingdings" w:hint="default"/>
      </w:rPr>
    </w:lvl>
  </w:abstractNum>
  <w:abstractNum w:abstractNumId="2" w15:restartNumberingAfterBreak="0">
    <w:nsid w:val="0FA01AD2"/>
    <w:multiLevelType w:val="hybridMultilevel"/>
    <w:tmpl w:val="634AA9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053DB7"/>
    <w:multiLevelType w:val="hybridMultilevel"/>
    <w:tmpl w:val="84647BE4"/>
    <w:lvl w:ilvl="0" w:tplc="548AADC8">
      <w:start w:val="1"/>
      <w:numFmt w:val="bullet"/>
      <w:lvlText w:val=""/>
      <w:lvlJc w:val="left"/>
      <w:pPr>
        <w:ind w:left="720" w:hanging="360"/>
      </w:pPr>
      <w:rPr>
        <w:rFonts w:ascii="Symbol" w:hAnsi="Symbol" w:hint="default"/>
        <w:color w:val="538135" w:themeColor="accent6"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5B2514C"/>
    <w:multiLevelType w:val="hybridMultilevel"/>
    <w:tmpl w:val="BA16670C"/>
    <w:lvl w:ilvl="0" w:tplc="9A26129E">
      <w:start w:val="1"/>
      <w:numFmt w:val="bullet"/>
      <w:lvlText w:val=""/>
      <w:lvlJc w:val="left"/>
      <w:pPr>
        <w:ind w:left="720" w:hanging="360"/>
      </w:pPr>
      <w:rPr>
        <w:rFonts w:ascii="Symbol" w:hAnsi="Symbol" w:hint="default"/>
        <w:color w:val="538135" w:themeColor="accent6"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925329F"/>
    <w:multiLevelType w:val="hybridMultilevel"/>
    <w:tmpl w:val="B17ED472"/>
    <w:lvl w:ilvl="0" w:tplc="992C9450">
      <w:start w:val="1"/>
      <w:numFmt w:val="bullet"/>
      <w:lvlText w:val=""/>
      <w:lvlJc w:val="left"/>
      <w:pPr>
        <w:ind w:left="720" w:hanging="360"/>
      </w:pPr>
      <w:rPr>
        <w:rFonts w:ascii="Symbol" w:hAnsi="Symbol" w:hint="default"/>
        <w:color w:val="538135" w:themeColor="accent6" w:themeShade="BF"/>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33B0B1B"/>
    <w:multiLevelType w:val="hybridMultilevel"/>
    <w:tmpl w:val="6136ED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69A741C"/>
    <w:multiLevelType w:val="hybridMultilevel"/>
    <w:tmpl w:val="5E0E91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AAC28AE"/>
    <w:multiLevelType w:val="hybridMultilevel"/>
    <w:tmpl w:val="9AE485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B60B05"/>
    <w:multiLevelType w:val="hybridMultilevel"/>
    <w:tmpl w:val="06288B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B5150F9"/>
    <w:multiLevelType w:val="hybridMultilevel"/>
    <w:tmpl w:val="565EAD1C"/>
    <w:lvl w:ilvl="0" w:tplc="A28C5A3E">
      <w:start w:val="1"/>
      <w:numFmt w:val="bullet"/>
      <w:lvlText w:val=""/>
      <w:lvlJc w:val="left"/>
      <w:pPr>
        <w:ind w:left="720" w:hanging="360"/>
      </w:pPr>
      <w:rPr>
        <w:rFonts w:ascii="Symbol" w:hAnsi="Symbol" w:hint="default"/>
        <w:color w:val="538135" w:themeColor="accent6"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0C2624F"/>
    <w:multiLevelType w:val="hybridMultilevel"/>
    <w:tmpl w:val="9A484558"/>
    <w:lvl w:ilvl="0" w:tplc="B2365D26">
      <w:start w:val="1"/>
      <w:numFmt w:val="bullet"/>
      <w:lvlText w:val=""/>
      <w:lvlJc w:val="left"/>
      <w:pPr>
        <w:ind w:left="720" w:hanging="360"/>
      </w:pPr>
      <w:rPr>
        <w:rFonts w:ascii="Symbol" w:hAnsi="Symbol" w:hint="default"/>
      </w:rPr>
    </w:lvl>
    <w:lvl w:ilvl="1" w:tplc="0AC809D2">
      <w:start w:val="1"/>
      <w:numFmt w:val="bullet"/>
      <w:lvlText w:val="o"/>
      <w:lvlJc w:val="left"/>
      <w:pPr>
        <w:ind w:left="1440" w:hanging="360"/>
      </w:pPr>
      <w:rPr>
        <w:rFonts w:ascii="Courier New" w:hAnsi="Courier New" w:hint="default"/>
      </w:rPr>
    </w:lvl>
    <w:lvl w:ilvl="2" w:tplc="34E828BC">
      <w:start w:val="1"/>
      <w:numFmt w:val="bullet"/>
      <w:lvlText w:val=""/>
      <w:lvlJc w:val="left"/>
      <w:pPr>
        <w:ind w:left="2160" w:hanging="360"/>
      </w:pPr>
      <w:rPr>
        <w:rFonts w:ascii="Wingdings" w:hAnsi="Wingdings" w:hint="default"/>
      </w:rPr>
    </w:lvl>
    <w:lvl w:ilvl="3" w:tplc="2D06C71A">
      <w:start w:val="1"/>
      <w:numFmt w:val="bullet"/>
      <w:lvlText w:val=""/>
      <w:lvlJc w:val="left"/>
      <w:pPr>
        <w:ind w:left="2880" w:hanging="360"/>
      </w:pPr>
      <w:rPr>
        <w:rFonts w:ascii="Symbol" w:hAnsi="Symbol" w:hint="default"/>
      </w:rPr>
    </w:lvl>
    <w:lvl w:ilvl="4" w:tplc="CED07E1E">
      <w:start w:val="1"/>
      <w:numFmt w:val="bullet"/>
      <w:lvlText w:val="o"/>
      <w:lvlJc w:val="left"/>
      <w:pPr>
        <w:ind w:left="3600" w:hanging="360"/>
      </w:pPr>
      <w:rPr>
        <w:rFonts w:ascii="Courier New" w:hAnsi="Courier New" w:hint="default"/>
      </w:rPr>
    </w:lvl>
    <w:lvl w:ilvl="5" w:tplc="A2D8DD18">
      <w:start w:val="1"/>
      <w:numFmt w:val="bullet"/>
      <w:lvlText w:val=""/>
      <w:lvlJc w:val="left"/>
      <w:pPr>
        <w:ind w:left="4320" w:hanging="360"/>
      </w:pPr>
      <w:rPr>
        <w:rFonts w:ascii="Wingdings" w:hAnsi="Wingdings" w:hint="default"/>
      </w:rPr>
    </w:lvl>
    <w:lvl w:ilvl="6" w:tplc="5ED0C9A4">
      <w:start w:val="1"/>
      <w:numFmt w:val="bullet"/>
      <w:lvlText w:val=""/>
      <w:lvlJc w:val="left"/>
      <w:pPr>
        <w:ind w:left="5040" w:hanging="360"/>
      </w:pPr>
      <w:rPr>
        <w:rFonts w:ascii="Symbol" w:hAnsi="Symbol" w:hint="default"/>
      </w:rPr>
    </w:lvl>
    <w:lvl w:ilvl="7" w:tplc="25BC0346">
      <w:start w:val="1"/>
      <w:numFmt w:val="bullet"/>
      <w:lvlText w:val="o"/>
      <w:lvlJc w:val="left"/>
      <w:pPr>
        <w:ind w:left="5760" w:hanging="360"/>
      </w:pPr>
      <w:rPr>
        <w:rFonts w:ascii="Courier New" w:hAnsi="Courier New" w:hint="default"/>
      </w:rPr>
    </w:lvl>
    <w:lvl w:ilvl="8" w:tplc="E8D4CBD0">
      <w:start w:val="1"/>
      <w:numFmt w:val="bullet"/>
      <w:lvlText w:val=""/>
      <w:lvlJc w:val="left"/>
      <w:pPr>
        <w:ind w:left="6480" w:hanging="360"/>
      </w:pPr>
      <w:rPr>
        <w:rFonts w:ascii="Wingdings" w:hAnsi="Wingdings" w:hint="default"/>
      </w:rPr>
    </w:lvl>
  </w:abstractNum>
  <w:abstractNum w:abstractNumId="12" w15:restartNumberingAfterBreak="0">
    <w:nsid w:val="4BDA3738"/>
    <w:multiLevelType w:val="hybridMultilevel"/>
    <w:tmpl w:val="19866C36"/>
    <w:lvl w:ilvl="0" w:tplc="E0C81C5A">
      <w:start w:val="1"/>
      <w:numFmt w:val="bullet"/>
      <w:lvlText w:val=""/>
      <w:lvlJc w:val="left"/>
      <w:pPr>
        <w:ind w:left="720" w:hanging="360"/>
      </w:pPr>
      <w:rPr>
        <w:rFonts w:ascii="Symbol" w:hAnsi="Symbol" w:hint="default"/>
        <w:color w:val="C45911" w:themeColor="accent2"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FC170C9"/>
    <w:multiLevelType w:val="hybridMultilevel"/>
    <w:tmpl w:val="1CECD3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5DD3B0C"/>
    <w:multiLevelType w:val="hybridMultilevel"/>
    <w:tmpl w:val="57665800"/>
    <w:lvl w:ilvl="0" w:tplc="8BAA9F5E">
      <w:start w:val="1"/>
      <w:numFmt w:val="bullet"/>
      <w:lvlText w:val=""/>
      <w:lvlJc w:val="left"/>
      <w:pPr>
        <w:ind w:left="720" w:hanging="360"/>
      </w:pPr>
      <w:rPr>
        <w:rFonts w:ascii="Symbol" w:hAnsi="Symbol" w:hint="default"/>
        <w:color w:val="538135" w:themeColor="accent6" w:themeShade="BF"/>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CFD1648"/>
    <w:multiLevelType w:val="hybridMultilevel"/>
    <w:tmpl w:val="F9F02B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9BB52EC"/>
    <w:multiLevelType w:val="hybridMultilevel"/>
    <w:tmpl w:val="D1007A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BC2180E"/>
    <w:multiLevelType w:val="hybridMultilevel"/>
    <w:tmpl w:val="DD78DC10"/>
    <w:lvl w:ilvl="0" w:tplc="0114B398">
      <w:start w:val="1"/>
      <w:numFmt w:val="bullet"/>
      <w:lvlText w:val=""/>
      <w:lvlJc w:val="left"/>
      <w:pPr>
        <w:ind w:left="720" w:hanging="360"/>
      </w:pPr>
      <w:rPr>
        <w:rFonts w:ascii="Symbol" w:hAnsi="Symbol" w:hint="default"/>
        <w:color w:val="538135" w:themeColor="accent6"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E6367BC"/>
    <w:multiLevelType w:val="hybridMultilevel"/>
    <w:tmpl w:val="8A8A46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42493247">
    <w:abstractNumId w:val="13"/>
  </w:num>
  <w:num w:numId="2" w16cid:durableId="295839876">
    <w:abstractNumId w:val="17"/>
  </w:num>
  <w:num w:numId="3" w16cid:durableId="858158955">
    <w:abstractNumId w:val="6"/>
  </w:num>
  <w:num w:numId="4" w16cid:durableId="2103069303">
    <w:abstractNumId w:val="7"/>
  </w:num>
  <w:num w:numId="5" w16cid:durableId="2090885146">
    <w:abstractNumId w:val="14"/>
  </w:num>
  <w:num w:numId="6" w16cid:durableId="226690298">
    <w:abstractNumId w:val="5"/>
  </w:num>
  <w:num w:numId="7" w16cid:durableId="946348301">
    <w:abstractNumId w:val="10"/>
  </w:num>
  <w:num w:numId="8" w16cid:durableId="1258557439">
    <w:abstractNumId w:val="2"/>
  </w:num>
  <w:num w:numId="9" w16cid:durableId="1793283518">
    <w:abstractNumId w:val="0"/>
  </w:num>
  <w:num w:numId="10" w16cid:durableId="615792152">
    <w:abstractNumId w:val="9"/>
  </w:num>
  <w:num w:numId="11" w16cid:durableId="955335216">
    <w:abstractNumId w:val="8"/>
  </w:num>
  <w:num w:numId="12" w16cid:durableId="1878350892">
    <w:abstractNumId w:val="12"/>
  </w:num>
  <w:num w:numId="13" w16cid:durableId="2020810270">
    <w:abstractNumId w:val="4"/>
  </w:num>
  <w:num w:numId="14" w16cid:durableId="1833059963">
    <w:abstractNumId w:val="3"/>
  </w:num>
  <w:num w:numId="15" w16cid:durableId="1240094605">
    <w:abstractNumId w:val="18"/>
  </w:num>
  <w:num w:numId="16" w16cid:durableId="536627729">
    <w:abstractNumId w:val="15"/>
  </w:num>
  <w:num w:numId="17" w16cid:durableId="738016115">
    <w:abstractNumId w:val="16"/>
  </w:num>
  <w:num w:numId="18" w16cid:durableId="1799911051">
    <w:abstractNumId w:val="1"/>
  </w:num>
  <w:num w:numId="19" w16cid:durableId="19530500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CD"/>
    <w:rsid w:val="00007AA6"/>
    <w:rsid w:val="00017783"/>
    <w:rsid w:val="00030CEA"/>
    <w:rsid w:val="0003167B"/>
    <w:rsid w:val="00034C02"/>
    <w:rsid w:val="00047AFE"/>
    <w:rsid w:val="00063655"/>
    <w:rsid w:val="00070C93"/>
    <w:rsid w:val="000726EC"/>
    <w:rsid w:val="00075F15"/>
    <w:rsid w:val="000767BC"/>
    <w:rsid w:val="00077C99"/>
    <w:rsid w:val="00080671"/>
    <w:rsid w:val="0008713F"/>
    <w:rsid w:val="00090755"/>
    <w:rsid w:val="00092BDF"/>
    <w:rsid w:val="000A52E6"/>
    <w:rsid w:val="000B5571"/>
    <w:rsid w:val="000D03D5"/>
    <w:rsid w:val="000F44BF"/>
    <w:rsid w:val="000F784B"/>
    <w:rsid w:val="00110568"/>
    <w:rsid w:val="00121AB8"/>
    <w:rsid w:val="0012206F"/>
    <w:rsid w:val="0013726A"/>
    <w:rsid w:val="0015718B"/>
    <w:rsid w:val="00165FE2"/>
    <w:rsid w:val="00177F11"/>
    <w:rsid w:val="00181C9B"/>
    <w:rsid w:val="00181E17"/>
    <w:rsid w:val="00187B93"/>
    <w:rsid w:val="00193E11"/>
    <w:rsid w:val="001C4C22"/>
    <w:rsid w:val="001C6DCF"/>
    <w:rsid w:val="001D4142"/>
    <w:rsid w:val="001E14F4"/>
    <w:rsid w:val="00222EB2"/>
    <w:rsid w:val="00223129"/>
    <w:rsid w:val="00250386"/>
    <w:rsid w:val="00273BBA"/>
    <w:rsid w:val="0027571C"/>
    <w:rsid w:val="00281BC0"/>
    <w:rsid w:val="002936A5"/>
    <w:rsid w:val="00295C84"/>
    <w:rsid w:val="002A4D83"/>
    <w:rsid w:val="002A7235"/>
    <w:rsid w:val="002C337A"/>
    <w:rsid w:val="002C422D"/>
    <w:rsid w:val="002C6EBD"/>
    <w:rsid w:val="002E0E7F"/>
    <w:rsid w:val="002E2539"/>
    <w:rsid w:val="002E5974"/>
    <w:rsid w:val="002F5901"/>
    <w:rsid w:val="002F74DB"/>
    <w:rsid w:val="0030072C"/>
    <w:rsid w:val="00304E29"/>
    <w:rsid w:val="003142B3"/>
    <w:rsid w:val="003217B7"/>
    <w:rsid w:val="003222AA"/>
    <w:rsid w:val="00342FD4"/>
    <w:rsid w:val="0034529C"/>
    <w:rsid w:val="0035003F"/>
    <w:rsid w:val="003521C2"/>
    <w:rsid w:val="00356C07"/>
    <w:rsid w:val="00357CD4"/>
    <w:rsid w:val="00365DB0"/>
    <w:rsid w:val="00371CA6"/>
    <w:rsid w:val="0038482C"/>
    <w:rsid w:val="00384C56"/>
    <w:rsid w:val="00385751"/>
    <w:rsid w:val="003C5737"/>
    <w:rsid w:val="003D23EA"/>
    <w:rsid w:val="003E12A3"/>
    <w:rsid w:val="003E3562"/>
    <w:rsid w:val="003E3E70"/>
    <w:rsid w:val="003E4B1A"/>
    <w:rsid w:val="003E6436"/>
    <w:rsid w:val="003E6FDA"/>
    <w:rsid w:val="0041075B"/>
    <w:rsid w:val="0041093D"/>
    <w:rsid w:val="0041370C"/>
    <w:rsid w:val="00415814"/>
    <w:rsid w:val="00423311"/>
    <w:rsid w:val="004254A6"/>
    <w:rsid w:val="00426628"/>
    <w:rsid w:val="00426E39"/>
    <w:rsid w:val="00436EF0"/>
    <w:rsid w:val="00445461"/>
    <w:rsid w:val="00445A4C"/>
    <w:rsid w:val="00447856"/>
    <w:rsid w:val="00452620"/>
    <w:rsid w:val="00452641"/>
    <w:rsid w:val="00456AE4"/>
    <w:rsid w:val="00482F50"/>
    <w:rsid w:val="00490B6E"/>
    <w:rsid w:val="00491810"/>
    <w:rsid w:val="00492AE6"/>
    <w:rsid w:val="004A7228"/>
    <w:rsid w:val="004B28F2"/>
    <w:rsid w:val="004B3391"/>
    <w:rsid w:val="004C0D15"/>
    <w:rsid w:val="004D084D"/>
    <w:rsid w:val="004E4318"/>
    <w:rsid w:val="004E5374"/>
    <w:rsid w:val="00502656"/>
    <w:rsid w:val="005071DE"/>
    <w:rsid w:val="00515E7D"/>
    <w:rsid w:val="00522475"/>
    <w:rsid w:val="0052412E"/>
    <w:rsid w:val="00524C76"/>
    <w:rsid w:val="0053195A"/>
    <w:rsid w:val="00533382"/>
    <w:rsid w:val="0053467C"/>
    <w:rsid w:val="005363AE"/>
    <w:rsid w:val="00550FF9"/>
    <w:rsid w:val="0055611D"/>
    <w:rsid w:val="0056398B"/>
    <w:rsid w:val="005648F2"/>
    <w:rsid w:val="005841A2"/>
    <w:rsid w:val="00590CBB"/>
    <w:rsid w:val="00594C05"/>
    <w:rsid w:val="005A5A9D"/>
    <w:rsid w:val="005C19AB"/>
    <w:rsid w:val="005C63A0"/>
    <w:rsid w:val="005D1139"/>
    <w:rsid w:val="005E2186"/>
    <w:rsid w:val="005E7D46"/>
    <w:rsid w:val="005F3BC0"/>
    <w:rsid w:val="00606FC5"/>
    <w:rsid w:val="00610B44"/>
    <w:rsid w:val="006149B2"/>
    <w:rsid w:val="00614A3E"/>
    <w:rsid w:val="00616681"/>
    <w:rsid w:val="00621229"/>
    <w:rsid w:val="00621FEB"/>
    <w:rsid w:val="00634C9A"/>
    <w:rsid w:val="006463B1"/>
    <w:rsid w:val="006520D8"/>
    <w:rsid w:val="006535BE"/>
    <w:rsid w:val="00656B01"/>
    <w:rsid w:val="006676B2"/>
    <w:rsid w:val="00667B33"/>
    <w:rsid w:val="00677D24"/>
    <w:rsid w:val="0068588A"/>
    <w:rsid w:val="00697A67"/>
    <w:rsid w:val="006A6478"/>
    <w:rsid w:val="006D23B7"/>
    <w:rsid w:val="006D7762"/>
    <w:rsid w:val="006E6F6B"/>
    <w:rsid w:val="006F38CF"/>
    <w:rsid w:val="006F43B2"/>
    <w:rsid w:val="00702F3B"/>
    <w:rsid w:val="00705324"/>
    <w:rsid w:val="00707B16"/>
    <w:rsid w:val="007153CE"/>
    <w:rsid w:val="007167DE"/>
    <w:rsid w:val="007174F1"/>
    <w:rsid w:val="00733C0A"/>
    <w:rsid w:val="00735ACD"/>
    <w:rsid w:val="0074086B"/>
    <w:rsid w:val="00746F0C"/>
    <w:rsid w:val="007510D0"/>
    <w:rsid w:val="00757F96"/>
    <w:rsid w:val="0076047C"/>
    <w:rsid w:val="00763940"/>
    <w:rsid w:val="00780514"/>
    <w:rsid w:val="00786FB1"/>
    <w:rsid w:val="00792928"/>
    <w:rsid w:val="007B1773"/>
    <w:rsid w:val="007B5D6C"/>
    <w:rsid w:val="007C00EF"/>
    <w:rsid w:val="007E2B4D"/>
    <w:rsid w:val="008018B5"/>
    <w:rsid w:val="00804F25"/>
    <w:rsid w:val="00807BEB"/>
    <w:rsid w:val="00807C78"/>
    <w:rsid w:val="00812DB3"/>
    <w:rsid w:val="008169BB"/>
    <w:rsid w:val="00825D1A"/>
    <w:rsid w:val="00830A47"/>
    <w:rsid w:val="008419E4"/>
    <w:rsid w:val="00850665"/>
    <w:rsid w:val="008536F4"/>
    <w:rsid w:val="00854D35"/>
    <w:rsid w:val="008570AA"/>
    <w:rsid w:val="008576B0"/>
    <w:rsid w:val="00863DB0"/>
    <w:rsid w:val="0087247A"/>
    <w:rsid w:val="008756A7"/>
    <w:rsid w:val="00883C19"/>
    <w:rsid w:val="00892EEC"/>
    <w:rsid w:val="008B1A12"/>
    <w:rsid w:val="008B2096"/>
    <w:rsid w:val="008B3906"/>
    <w:rsid w:val="008C2351"/>
    <w:rsid w:val="008C26D4"/>
    <w:rsid w:val="008C3CE2"/>
    <w:rsid w:val="008C7886"/>
    <w:rsid w:val="008D1644"/>
    <w:rsid w:val="008D354B"/>
    <w:rsid w:val="008D72E4"/>
    <w:rsid w:val="008E54FC"/>
    <w:rsid w:val="008F1C3C"/>
    <w:rsid w:val="008F59C6"/>
    <w:rsid w:val="0090334A"/>
    <w:rsid w:val="00903C42"/>
    <w:rsid w:val="0091046B"/>
    <w:rsid w:val="009110D2"/>
    <w:rsid w:val="00935E4A"/>
    <w:rsid w:val="00937246"/>
    <w:rsid w:val="00945C9A"/>
    <w:rsid w:val="00947A22"/>
    <w:rsid w:val="0095430F"/>
    <w:rsid w:val="00956192"/>
    <w:rsid w:val="00960564"/>
    <w:rsid w:val="009624A7"/>
    <w:rsid w:val="009628D1"/>
    <w:rsid w:val="009A0B85"/>
    <w:rsid w:val="009A0F29"/>
    <w:rsid w:val="009A14AC"/>
    <w:rsid w:val="009A332B"/>
    <w:rsid w:val="009B7B91"/>
    <w:rsid w:val="009D716A"/>
    <w:rsid w:val="009E10BD"/>
    <w:rsid w:val="009E1521"/>
    <w:rsid w:val="009E293A"/>
    <w:rsid w:val="009F06E7"/>
    <w:rsid w:val="009F09AE"/>
    <w:rsid w:val="009F282C"/>
    <w:rsid w:val="00A01FCC"/>
    <w:rsid w:val="00A10704"/>
    <w:rsid w:val="00A20F8C"/>
    <w:rsid w:val="00A217CC"/>
    <w:rsid w:val="00A27D52"/>
    <w:rsid w:val="00A3295E"/>
    <w:rsid w:val="00A5040C"/>
    <w:rsid w:val="00A5052E"/>
    <w:rsid w:val="00A515E2"/>
    <w:rsid w:val="00A54FDA"/>
    <w:rsid w:val="00A60DC9"/>
    <w:rsid w:val="00A6530A"/>
    <w:rsid w:val="00A72747"/>
    <w:rsid w:val="00A820AC"/>
    <w:rsid w:val="00A85173"/>
    <w:rsid w:val="00A86086"/>
    <w:rsid w:val="00A91697"/>
    <w:rsid w:val="00AA0C03"/>
    <w:rsid w:val="00AA6E68"/>
    <w:rsid w:val="00AB39FF"/>
    <w:rsid w:val="00AB5858"/>
    <w:rsid w:val="00AD578E"/>
    <w:rsid w:val="00AD7666"/>
    <w:rsid w:val="00AE17D6"/>
    <w:rsid w:val="00AF41D8"/>
    <w:rsid w:val="00B03703"/>
    <w:rsid w:val="00B16260"/>
    <w:rsid w:val="00B22746"/>
    <w:rsid w:val="00B2780D"/>
    <w:rsid w:val="00B34545"/>
    <w:rsid w:val="00B73FBC"/>
    <w:rsid w:val="00B85BA5"/>
    <w:rsid w:val="00B923B7"/>
    <w:rsid w:val="00BA76F8"/>
    <w:rsid w:val="00BB0C4A"/>
    <w:rsid w:val="00BB65E9"/>
    <w:rsid w:val="00BC780A"/>
    <w:rsid w:val="00BD5AA6"/>
    <w:rsid w:val="00BE323E"/>
    <w:rsid w:val="00BE3903"/>
    <w:rsid w:val="00BE5A34"/>
    <w:rsid w:val="00BF5D72"/>
    <w:rsid w:val="00BF69BF"/>
    <w:rsid w:val="00C003CA"/>
    <w:rsid w:val="00C010FB"/>
    <w:rsid w:val="00C039E5"/>
    <w:rsid w:val="00C164B9"/>
    <w:rsid w:val="00C32D1D"/>
    <w:rsid w:val="00C35460"/>
    <w:rsid w:val="00C42E9B"/>
    <w:rsid w:val="00C525B2"/>
    <w:rsid w:val="00C54695"/>
    <w:rsid w:val="00C65201"/>
    <w:rsid w:val="00C74529"/>
    <w:rsid w:val="00C75C29"/>
    <w:rsid w:val="00C86B37"/>
    <w:rsid w:val="00CA270C"/>
    <w:rsid w:val="00CA475F"/>
    <w:rsid w:val="00CA697E"/>
    <w:rsid w:val="00CB09FC"/>
    <w:rsid w:val="00CB1A07"/>
    <w:rsid w:val="00CC00A5"/>
    <w:rsid w:val="00CC1B02"/>
    <w:rsid w:val="00CD21B9"/>
    <w:rsid w:val="00CD417F"/>
    <w:rsid w:val="00CE0C71"/>
    <w:rsid w:val="00CF10CB"/>
    <w:rsid w:val="00D02B68"/>
    <w:rsid w:val="00D15AAA"/>
    <w:rsid w:val="00D16CE2"/>
    <w:rsid w:val="00D16F90"/>
    <w:rsid w:val="00D2164C"/>
    <w:rsid w:val="00D23459"/>
    <w:rsid w:val="00D26D29"/>
    <w:rsid w:val="00D37694"/>
    <w:rsid w:val="00D52B0E"/>
    <w:rsid w:val="00D56733"/>
    <w:rsid w:val="00D7667F"/>
    <w:rsid w:val="00D775AE"/>
    <w:rsid w:val="00D85FE2"/>
    <w:rsid w:val="00D85FEB"/>
    <w:rsid w:val="00D878FB"/>
    <w:rsid w:val="00D87A2D"/>
    <w:rsid w:val="00D91349"/>
    <w:rsid w:val="00D926A6"/>
    <w:rsid w:val="00D94565"/>
    <w:rsid w:val="00DA34EF"/>
    <w:rsid w:val="00DA5A1C"/>
    <w:rsid w:val="00DB0E73"/>
    <w:rsid w:val="00DB44BE"/>
    <w:rsid w:val="00DC70E4"/>
    <w:rsid w:val="00DC74BD"/>
    <w:rsid w:val="00DC7D85"/>
    <w:rsid w:val="00DD245A"/>
    <w:rsid w:val="00DD28D3"/>
    <w:rsid w:val="00DD5961"/>
    <w:rsid w:val="00DD665E"/>
    <w:rsid w:val="00DE22FF"/>
    <w:rsid w:val="00DF6430"/>
    <w:rsid w:val="00DF7D1B"/>
    <w:rsid w:val="00E26F9D"/>
    <w:rsid w:val="00E37D3D"/>
    <w:rsid w:val="00E4493D"/>
    <w:rsid w:val="00E46EAF"/>
    <w:rsid w:val="00E570AE"/>
    <w:rsid w:val="00E650C9"/>
    <w:rsid w:val="00E7162A"/>
    <w:rsid w:val="00E7513D"/>
    <w:rsid w:val="00E77F93"/>
    <w:rsid w:val="00E8255F"/>
    <w:rsid w:val="00E87026"/>
    <w:rsid w:val="00EC45D1"/>
    <w:rsid w:val="00EC51C9"/>
    <w:rsid w:val="00EC564B"/>
    <w:rsid w:val="00EC62AF"/>
    <w:rsid w:val="00ED3670"/>
    <w:rsid w:val="00ED5D87"/>
    <w:rsid w:val="00EE27E1"/>
    <w:rsid w:val="00EE6ADA"/>
    <w:rsid w:val="00F04FE1"/>
    <w:rsid w:val="00F107BB"/>
    <w:rsid w:val="00F1246F"/>
    <w:rsid w:val="00F27C5F"/>
    <w:rsid w:val="00F30EFB"/>
    <w:rsid w:val="00F42E72"/>
    <w:rsid w:val="00F43E0B"/>
    <w:rsid w:val="00F4559F"/>
    <w:rsid w:val="00F649B0"/>
    <w:rsid w:val="00F66FB9"/>
    <w:rsid w:val="00F73164"/>
    <w:rsid w:val="00F82B84"/>
    <w:rsid w:val="00F8422E"/>
    <w:rsid w:val="00F95A82"/>
    <w:rsid w:val="00FC1FE1"/>
    <w:rsid w:val="00FF5D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FD4F"/>
  <w15:chartTrackingRefBased/>
  <w15:docId w15:val="{8677608D-9164-45CF-8057-2A5D3ED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6B37"/>
  </w:style>
  <w:style w:type="paragraph" w:styleId="Pealkiri1">
    <w:name w:val="heading 1"/>
    <w:basedOn w:val="Normaallaad"/>
    <w:link w:val="Pealkiri1Mrk"/>
    <w:uiPriority w:val="9"/>
    <w:qFormat/>
    <w:rsid w:val="00BF5D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C32D1D"/>
    <w:rPr>
      <w:sz w:val="16"/>
      <w:szCs w:val="16"/>
    </w:rPr>
  </w:style>
  <w:style w:type="paragraph" w:styleId="Kommentaaritekst">
    <w:name w:val="annotation text"/>
    <w:basedOn w:val="Normaallaad"/>
    <w:link w:val="KommentaaritekstMrk"/>
    <w:uiPriority w:val="99"/>
    <w:unhideWhenUsed/>
    <w:rsid w:val="00C32D1D"/>
    <w:pPr>
      <w:spacing w:line="240" w:lineRule="auto"/>
    </w:pPr>
    <w:rPr>
      <w:sz w:val="20"/>
      <w:szCs w:val="20"/>
    </w:rPr>
  </w:style>
  <w:style w:type="character" w:customStyle="1" w:styleId="KommentaaritekstMrk">
    <w:name w:val="Kommentaari tekst Märk"/>
    <w:basedOn w:val="Liguvaikefont"/>
    <w:link w:val="Kommentaaritekst"/>
    <w:uiPriority w:val="99"/>
    <w:rsid w:val="00C32D1D"/>
    <w:rPr>
      <w:sz w:val="20"/>
      <w:szCs w:val="20"/>
    </w:rPr>
  </w:style>
  <w:style w:type="paragraph" w:styleId="Kommentaariteema">
    <w:name w:val="annotation subject"/>
    <w:basedOn w:val="Kommentaaritekst"/>
    <w:next w:val="Kommentaaritekst"/>
    <w:link w:val="KommentaariteemaMrk"/>
    <w:uiPriority w:val="99"/>
    <w:semiHidden/>
    <w:unhideWhenUsed/>
    <w:rsid w:val="00C32D1D"/>
    <w:rPr>
      <w:b/>
      <w:bCs/>
    </w:rPr>
  </w:style>
  <w:style w:type="character" w:customStyle="1" w:styleId="KommentaariteemaMrk">
    <w:name w:val="Kommentaari teema Märk"/>
    <w:basedOn w:val="KommentaaritekstMrk"/>
    <w:link w:val="Kommentaariteema"/>
    <w:uiPriority w:val="99"/>
    <w:semiHidden/>
    <w:rsid w:val="00C32D1D"/>
    <w:rPr>
      <w:b/>
      <w:bCs/>
      <w:sz w:val="20"/>
      <w:szCs w:val="20"/>
    </w:rPr>
  </w:style>
  <w:style w:type="paragraph" w:styleId="Loendilik">
    <w:name w:val="List Paragraph"/>
    <w:basedOn w:val="Normaallaad"/>
    <w:uiPriority w:val="34"/>
    <w:qFormat/>
    <w:rsid w:val="00960564"/>
    <w:pPr>
      <w:ind w:left="720"/>
      <w:contextualSpacing/>
    </w:pPr>
  </w:style>
  <w:style w:type="paragraph" w:styleId="Pis">
    <w:name w:val="header"/>
    <w:basedOn w:val="Normaallaad"/>
    <w:link w:val="PisMrk"/>
    <w:uiPriority w:val="99"/>
    <w:unhideWhenUsed/>
    <w:rsid w:val="00B923B7"/>
    <w:pPr>
      <w:tabs>
        <w:tab w:val="center" w:pos="4536"/>
        <w:tab w:val="right" w:pos="9072"/>
      </w:tabs>
      <w:spacing w:after="0" w:line="240" w:lineRule="auto"/>
    </w:pPr>
  </w:style>
  <w:style w:type="character" w:customStyle="1" w:styleId="PisMrk">
    <w:name w:val="Päis Märk"/>
    <w:basedOn w:val="Liguvaikefont"/>
    <w:link w:val="Pis"/>
    <w:uiPriority w:val="99"/>
    <w:rsid w:val="00B923B7"/>
  </w:style>
  <w:style w:type="paragraph" w:styleId="Jalus">
    <w:name w:val="footer"/>
    <w:basedOn w:val="Normaallaad"/>
    <w:link w:val="JalusMrk"/>
    <w:uiPriority w:val="99"/>
    <w:unhideWhenUsed/>
    <w:rsid w:val="00B923B7"/>
    <w:pPr>
      <w:tabs>
        <w:tab w:val="center" w:pos="4536"/>
        <w:tab w:val="right" w:pos="9072"/>
      </w:tabs>
      <w:spacing w:after="0" w:line="240" w:lineRule="auto"/>
    </w:pPr>
  </w:style>
  <w:style w:type="character" w:customStyle="1" w:styleId="JalusMrk">
    <w:name w:val="Jalus Märk"/>
    <w:basedOn w:val="Liguvaikefont"/>
    <w:link w:val="Jalus"/>
    <w:uiPriority w:val="99"/>
    <w:rsid w:val="00B923B7"/>
  </w:style>
  <w:style w:type="paragraph" w:styleId="Allmrkusetekst">
    <w:name w:val="footnote text"/>
    <w:basedOn w:val="Normaallaad"/>
    <w:link w:val="AllmrkusetekstMrk"/>
    <w:uiPriority w:val="99"/>
    <w:semiHidden/>
    <w:unhideWhenUsed/>
    <w:rsid w:val="00D9134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91349"/>
    <w:rPr>
      <w:sz w:val="20"/>
      <w:szCs w:val="20"/>
    </w:rPr>
  </w:style>
  <w:style w:type="character" w:styleId="Allmrkuseviide">
    <w:name w:val="footnote reference"/>
    <w:basedOn w:val="Liguvaikefont"/>
    <w:uiPriority w:val="99"/>
    <w:semiHidden/>
    <w:unhideWhenUsed/>
    <w:rsid w:val="00D91349"/>
    <w:rPr>
      <w:vertAlign w:val="superscript"/>
    </w:rPr>
  </w:style>
  <w:style w:type="paragraph" w:styleId="Redaktsioon">
    <w:name w:val="Revision"/>
    <w:hidden/>
    <w:uiPriority w:val="99"/>
    <w:semiHidden/>
    <w:rsid w:val="002A7235"/>
    <w:pPr>
      <w:spacing w:after="0" w:line="240" w:lineRule="auto"/>
    </w:pPr>
  </w:style>
  <w:style w:type="character" w:customStyle="1" w:styleId="Pealkiri1Mrk">
    <w:name w:val="Pealkiri 1 Märk"/>
    <w:basedOn w:val="Liguvaikefont"/>
    <w:link w:val="Pealkiri1"/>
    <w:uiPriority w:val="9"/>
    <w:rsid w:val="00BF5D72"/>
    <w:rPr>
      <w:rFonts w:ascii="Times New Roman" w:eastAsia="Times New Roman" w:hAnsi="Times New Roman" w:cs="Times New Roman"/>
      <w:b/>
      <w:bCs/>
      <w:kern w:val="36"/>
      <w:sz w:val="48"/>
      <w:szCs w:val="48"/>
      <w:lang w:eastAsia="et-EE"/>
    </w:rPr>
  </w:style>
  <w:style w:type="table" w:styleId="Kontuurtabel">
    <w:name w:val="Table Grid"/>
    <w:basedOn w:val="Normaaltabel"/>
    <w:uiPriority w:val="39"/>
    <w:rsid w:val="002E0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77096">
      <w:bodyDiv w:val="1"/>
      <w:marLeft w:val="0"/>
      <w:marRight w:val="0"/>
      <w:marTop w:val="0"/>
      <w:marBottom w:val="0"/>
      <w:divBdr>
        <w:top w:val="none" w:sz="0" w:space="0" w:color="auto"/>
        <w:left w:val="none" w:sz="0" w:space="0" w:color="auto"/>
        <w:bottom w:val="none" w:sz="0" w:space="0" w:color="auto"/>
        <w:right w:val="none" w:sz="0" w:space="0" w:color="auto"/>
      </w:divBdr>
    </w:div>
    <w:div w:id="989946404">
      <w:bodyDiv w:val="1"/>
      <w:marLeft w:val="0"/>
      <w:marRight w:val="0"/>
      <w:marTop w:val="0"/>
      <w:marBottom w:val="0"/>
      <w:divBdr>
        <w:top w:val="none" w:sz="0" w:space="0" w:color="auto"/>
        <w:left w:val="none" w:sz="0" w:space="0" w:color="auto"/>
        <w:bottom w:val="none" w:sz="0" w:space="0" w:color="auto"/>
        <w:right w:val="none" w:sz="0" w:space="0" w:color="auto"/>
      </w:divBdr>
    </w:div>
    <w:div w:id="1354527162">
      <w:bodyDiv w:val="1"/>
      <w:marLeft w:val="0"/>
      <w:marRight w:val="0"/>
      <w:marTop w:val="0"/>
      <w:marBottom w:val="0"/>
      <w:divBdr>
        <w:top w:val="none" w:sz="0" w:space="0" w:color="auto"/>
        <w:left w:val="none" w:sz="0" w:space="0" w:color="auto"/>
        <w:bottom w:val="none" w:sz="0" w:space="0" w:color="auto"/>
        <w:right w:val="none" w:sz="0" w:space="0" w:color="auto"/>
      </w:divBdr>
    </w:div>
    <w:div w:id="19164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39349-F665-49C4-869F-F360B13C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2308</Words>
  <Characters>13390</Characters>
  <Application>Microsoft Office Word</Application>
  <DocSecurity>4</DocSecurity>
  <Lines>111</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Anna-Liina Väkram</dc:creator>
  <cp:keywords/>
  <dc:description/>
  <cp:lastModifiedBy>Anna-Liina Väkram - MKM</cp:lastModifiedBy>
  <cp:revision>2</cp:revision>
  <cp:lastPrinted>2023-10-04T06:22:00Z</cp:lastPrinted>
  <dcterms:created xsi:type="dcterms:W3CDTF">2024-09-24T08:12:00Z</dcterms:created>
  <dcterms:modified xsi:type="dcterms:W3CDTF">2024-09-24T08:12:00Z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2024-09-24T05:30:48Z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8e86124b-e71c-4cf6-a8d0-59b84c2e9210</vt:lpwstr>
  </property>
  <property fmtid="{D5CDD505-2E9C-101B-9397-08002B2CF9AE}" pid="8" name="MSIP_Label_defa4170-0d19-0005-0004-bc88714345d2_ContentBits">
    <vt:lpwstr>0</vt:lpwstr>
  </property>
</Properties>
</file>